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Theme="majorEastAsia" w:hAnsiTheme="majorEastAsia" w:eastAsiaTheme="majorEastAsia" w:cstheme="majorEastAsia"/>
          <w:b/>
          <w:bCs/>
          <w:color w:val="auto"/>
          <w:sz w:val="36"/>
          <w:szCs w:val="36"/>
          <w:lang w:eastAsia="zh-CN"/>
        </w:rPr>
      </w:pPr>
      <w:r>
        <w:rPr>
          <w:rFonts w:hint="eastAsia" w:asciiTheme="majorEastAsia" w:hAnsiTheme="majorEastAsia" w:eastAsiaTheme="majorEastAsia" w:cstheme="majorEastAsia"/>
          <w:b/>
          <w:bCs/>
          <w:color w:val="auto"/>
          <w:sz w:val="36"/>
          <w:szCs w:val="36"/>
          <w:lang w:eastAsia="zh-CN"/>
        </w:rPr>
        <w:t>龙岩市生态环境局关于印发《</w:t>
      </w:r>
      <w:r>
        <w:rPr>
          <w:rFonts w:hint="eastAsia" w:asciiTheme="majorEastAsia" w:hAnsiTheme="majorEastAsia" w:eastAsiaTheme="majorEastAsia" w:cstheme="majorEastAsia"/>
          <w:b/>
          <w:bCs/>
          <w:color w:val="auto"/>
          <w:sz w:val="36"/>
          <w:szCs w:val="36"/>
        </w:rPr>
        <w:t>生态损害赔偿简易评估管理办法(试行)</w:t>
      </w:r>
      <w:r>
        <w:rPr>
          <w:rFonts w:hint="eastAsia" w:asciiTheme="majorEastAsia" w:hAnsiTheme="majorEastAsia" w:eastAsiaTheme="majorEastAsia" w:cstheme="majorEastAsia"/>
          <w:b/>
          <w:bCs/>
          <w:color w:val="auto"/>
          <w:sz w:val="36"/>
          <w:szCs w:val="36"/>
          <w:lang w:eastAsia="zh-CN"/>
        </w:rPr>
        <w:t>》的通知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各派出生态环境局：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为进一步推动生态损害赔偿制度改革工作，现将《生态损害赔偿简易评估管理办法(试行)》印发给你们，请遵照执行。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龙岩市生态环境局</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2022年10月21日</w:t>
      </w:r>
    </w:p>
    <w:p>
      <w:pPr>
        <w:keepNext w:val="0"/>
        <w:keepLines w:val="0"/>
        <w:pageBreakBefore w:val="0"/>
        <w:widowControl w:val="0"/>
        <w:kinsoku/>
        <w:wordWrap/>
        <w:overflowPunct/>
        <w:topLinePunct w:val="0"/>
        <w:autoSpaceDE/>
        <w:autoSpaceDN/>
        <w:bidi w:val="0"/>
        <w:adjustRightInd/>
        <w:snapToGrid/>
        <w:spacing w:after="313" w:afterLines="100"/>
        <w:ind w:firstLine="640"/>
        <w:jc w:val="left"/>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Theme="majorEastAsia" w:hAnsiTheme="majorEastAsia" w:eastAsiaTheme="majorEastAsia" w:cstheme="majorEastAsia"/>
          <w:b/>
          <w:bCs/>
          <w:color w:val="auto"/>
          <w:sz w:val="36"/>
          <w:szCs w:val="36"/>
        </w:rPr>
      </w:pP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Theme="majorEastAsia" w:hAnsiTheme="majorEastAsia" w:eastAsiaTheme="majorEastAsia" w:cstheme="majorEastAsia"/>
          <w:b/>
          <w:bCs/>
          <w:color w:val="auto"/>
          <w:sz w:val="36"/>
          <w:szCs w:val="36"/>
        </w:rPr>
      </w:pP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Theme="majorEastAsia" w:hAnsiTheme="majorEastAsia" w:eastAsiaTheme="majorEastAsia" w:cstheme="majorEastAsia"/>
          <w:b/>
          <w:bCs/>
          <w:color w:val="auto"/>
          <w:sz w:val="36"/>
          <w:szCs w:val="36"/>
        </w:rPr>
      </w:pP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Theme="majorEastAsia" w:hAnsiTheme="majorEastAsia" w:eastAsiaTheme="majorEastAsia" w:cstheme="majorEastAsia"/>
          <w:b/>
          <w:bCs/>
          <w:color w:val="auto"/>
          <w:sz w:val="36"/>
          <w:szCs w:val="36"/>
        </w:rPr>
      </w:pP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Theme="majorEastAsia" w:hAnsiTheme="majorEastAsia" w:eastAsiaTheme="majorEastAsia" w:cstheme="majorEastAsia"/>
          <w:b/>
          <w:bCs/>
          <w:color w:val="auto"/>
          <w:sz w:val="36"/>
          <w:szCs w:val="36"/>
        </w:rPr>
      </w:pP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Theme="majorEastAsia" w:hAnsiTheme="majorEastAsia" w:eastAsiaTheme="majorEastAsia" w:cstheme="majorEastAsia"/>
          <w:b/>
          <w:bCs/>
          <w:color w:val="auto"/>
          <w:sz w:val="36"/>
          <w:szCs w:val="36"/>
        </w:rPr>
      </w:pP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Theme="majorEastAsia" w:hAnsiTheme="majorEastAsia" w:eastAsiaTheme="majorEastAsia" w:cstheme="majorEastAsia"/>
          <w:b/>
          <w:bCs/>
          <w:color w:val="auto"/>
          <w:sz w:val="36"/>
          <w:szCs w:val="36"/>
          <w:lang w:eastAsia="zh-CN"/>
        </w:rPr>
      </w:pP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Theme="majorEastAsia" w:hAnsiTheme="majorEastAsia" w:eastAsiaTheme="majorEastAsia" w:cstheme="majorEastAsia"/>
          <w:b/>
          <w:bCs/>
          <w:color w:val="auto"/>
          <w:sz w:val="36"/>
          <w:szCs w:val="36"/>
          <w:lang w:eastAsia="zh-CN"/>
        </w:rPr>
      </w:pP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Theme="majorEastAsia" w:hAnsiTheme="majorEastAsia" w:eastAsiaTheme="majorEastAsia" w:cstheme="majorEastAsia"/>
          <w:b/>
          <w:bCs/>
          <w:color w:val="auto"/>
          <w:sz w:val="36"/>
          <w:szCs w:val="36"/>
        </w:rPr>
      </w:pP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asciiTheme="majorEastAsia" w:hAnsiTheme="majorEastAsia" w:eastAsiaTheme="majorEastAsia" w:cstheme="majorEastAsia"/>
          <w:b/>
          <w:bCs/>
          <w:color w:val="auto"/>
          <w:sz w:val="36"/>
          <w:szCs w:val="36"/>
        </w:rPr>
      </w:pPr>
      <w:r>
        <w:rPr>
          <w:rFonts w:hint="eastAsia" w:asciiTheme="majorEastAsia" w:hAnsiTheme="majorEastAsia" w:eastAsiaTheme="majorEastAsia" w:cstheme="majorEastAsia"/>
          <w:b/>
          <w:bCs/>
          <w:color w:val="auto"/>
          <w:sz w:val="36"/>
          <w:szCs w:val="36"/>
        </w:rPr>
        <w:t>生态损害赔偿简易评估管理办法(试行)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第一条</w:t>
      </w:r>
      <w:r>
        <w:rPr>
          <w:rFonts w:hint="eastAsia" w:ascii="仿宋" w:hAnsi="仿宋" w:eastAsia="仿宋" w:cs="仿宋"/>
          <w:color w:val="auto"/>
          <w:sz w:val="32"/>
          <w:szCs w:val="32"/>
        </w:rPr>
        <w:t xml:space="preserve"> 为进一步推动生态损害赔偿案件办理，建立生态损害赔偿简易评估制度，根据《生态环境损害赔偿管理规定》（环法规〔2022〕31号）、《2022年福建省生态损害赔偿制度改革工作要点》（闽环保法〔2022〕5号）和《福建省生态环境厅关于进一步加强环境执法与生态损害赔偿衔接工作的通知》要求，结合我市实际，制定本办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 xml:space="preserve">第二条 </w:t>
      </w:r>
      <w:r>
        <w:rPr>
          <w:rFonts w:hint="eastAsia" w:ascii="仿宋" w:hAnsi="仿宋" w:eastAsia="仿宋" w:cs="仿宋"/>
          <w:color w:val="auto"/>
          <w:sz w:val="32"/>
          <w:szCs w:val="32"/>
        </w:rPr>
        <w:t>本办法所称的生态损害赔偿简易评估是指</w:t>
      </w:r>
      <w:r>
        <w:rPr>
          <w:rFonts w:hint="eastAsia" w:ascii="仿宋" w:hAnsi="仿宋" w:eastAsia="仿宋" w:cs="仿宋"/>
          <w:color w:val="auto"/>
          <w:sz w:val="32"/>
          <w:szCs w:val="32"/>
          <w:lang w:eastAsia="zh-CN"/>
        </w:rPr>
        <w:t>针对</w:t>
      </w:r>
      <w:r>
        <w:rPr>
          <w:rFonts w:hint="eastAsia" w:ascii="仿宋" w:hAnsi="仿宋" w:eastAsia="仿宋" w:cs="仿宋"/>
          <w:color w:val="auto"/>
          <w:sz w:val="32"/>
          <w:szCs w:val="32"/>
        </w:rPr>
        <w:t>损害事实简单、责任认定无争议、损害量化金额估算在三十万元以下的案件，可以采取简易评估方式确定损害赔偿金额，具体可以采用委托专家评估</w:t>
      </w:r>
      <w:r>
        <w:rPr>
          <w:rFonts w:hint="eastAsia" w:ascii="仿宋" w:hAnsi="仿宋" w:eastAsia="仿宋" w:cs="仿宋"/>
          <w:color w:val="auto"/>
          <w:sz w:val="32"/>
          <w:szCs w:val="32"/>
          <w:lang w:eastAsia="zh-CN"/>
        </w:rPr>
        <w:t>出具专家意见</w:t>
      </w:r>
      <w:r>
        <w:rPr>
          <w:rFonts w:hint="eastAsia" w:ascii="仿宋" w:hAnsi="仿宋" w:eastAsia="仿宋" w:cs="仿宋"/>
          <w:color w:val="auto"/>
          <w:sz w:val="32"/>
          <w:szCs w:val="32"/>
        </w:rPr>
        <w:t>或者根据与案件相关的法律文书、监测报告等资料综合作出认定。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第三条</w:t>
      </w:r>
      <w:r>
        <w:rPr>
          <w:rFonts w:hint="eastAsia" w:ascii="仿宋" w:hAnsi="仿宋" w:eastAsia="仿宋" w:cs="仿宋"/>
          <w:color w:val="auto"/>
          <w:sz w:val="32"/>
          <w:szCs w:val="32"/>
        </w:rPr>
        <w:t xml:space="preserve"> 本</w:t>
      </w:r>
      <w:r>
        <w:rPr>
          <w:rFonts w:hint="eastAsia" w:ascii="仿宋" w:hAnsi="仿宋" w:eastAsia="仿宋" w:cs="仿宋"/>
          <w:color w:val="auto"/>
          <w:sz w:val="32"/>
          <w:szCs w:val="32"/>
          <w:lang w:eastAsia="zh-CN"/>
        </w:rPr>
        <w:t>办法</w:t>
      </w:r>
      <w:r>
        <w:rPr>
          <w:rFonts w:hint="eastAsia" w:ascii="仿宋" w:hAnsi="仿宋" w:eastAsia="仿宋" w:cs="仿宋"/>
          <w:color w:val="auto"/>
          <w:sz w:val="32"/>
          <w:szCs w:val="32"/>
        </w:rPr>
        <w:t>第二条所称适用简易评估方式的生态损害赔偿案件包括下列情形：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（一）涉嫌犯罪的环境违法案件；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（二）行政处罚10万元以上且违法超标案件；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（三）行政处罚10万元以上且超总量案件；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（四）行政处罚10万元以上且未验先投排污案件；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（五）行政处罚10万元以上</w:t>
      </w:r>
      <w:r>
        <w:rPr>
          <w:rFonts w:hint="eastAsia" w:ascii="仿宋" w:hAnsi="仿宋" w:eastAsia="仿宋" w:cs="仿宋"/>
          <w:color w:val="auto"/>
          <w:sz w:val="32"/>
          <w:szCs w:val="32"/>
          <w:lang w:eastAsia="zh-CN"/>
        </w:rPr>
        <w:t>且</w:t>
      </w:r>
      <w:r>
        <w:rPr>
          <w:rFonts w:hint="eastAsia" w:ascii="仿宋" w:hAnsi="仿宋" w:eastAsia="仿宋" w:cs="仿宋"/>
          <w:color w:val="auto"/>
          <w:sz w:val="32"/>
          <w:szCs w:val="32"/>
        </w:rPr>
        <w:t>非法排放倾倒有毒有害物质造成环境污染案件；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（六）行政处罚涉及责令恢复原状案件</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（七）其他</w:t>
      </w:r>
      <w:r>
        <w:rPr>
          <w:rFonts w:hint="eastAsia" w:ascii="仿宋" w:hAnsi="仿宋" w:eastAsia="仿宋" w:cs="仿宋"/>
          <w:color w:val="auto"/>
          <w:sz w:val="32"/>
          <w:szCs w:val="32"/>
        </w:rPr>
        <w:t>适用简易评估方式的生态损害赔偿案件</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以上主要针对生态环境部门办理的处罚案件，各行业主管部门可根据实际情况自行确定适用范围。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eastAsia="zh-CN"/>
        </w:rPr>
        <w:t>第四条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rPr>
        <w:t>经调查，符合本办法第二条和第三条情形的，</w:t>
      </w:r>
      <w:r>
        <w:rPr>
          <w:rFonts w:hint="eastAsia" w:ascii="仿宋" w:hAnsi="仿宋" w:eastAsia="仿宋" w:cs="仿宋"/>
          <w:color w:val="auto"/>
          <w:sz w:val="32"/>
          <w:szCs w:val="32"/>
          <w:lang w:eastAsia="zh-CN"/>
        </w:rPr>
        <w:t>负责生态损害赔偿的工作</w:t>
      </w:r>
      <w:r>
        <w:rPr>
          <w:rFonts w:hint="eastAsia" w:ascii="仿宋" w:hAnsi="仿宋" w:eastAsia="仿宋" w:cs="仿宋"/>
          <w:color w:val="auto"/>
          <w:sz w:val="32"/>
          <w:szCs w:val="32"/>
        </w:rPr>
        <w:t>机构应当在</w:t>
      </w:r>
      <w:r>
        <w:rPr>
          <w:rFonts w:hint="eastAsia" w:ascii="仿宋" w:hAnsi="仿宋" w:eastAsia="仿宋" w:cs="仿宋"/>
          <w:color w:val="auto"/>
          <w:sz w:val="32"/>
          <w:szCs w:val="32"/>
          <w:lang w:eastAsia="zh-CN"/>
        </w:rPr>
        <w:t>调查完成</w:t>
      </w:r>
      <w:r>
        <w:rPr>
          <w:rFonts w:hint="eastAsia" w:ascii="仿宋" w:hAnsi="仿宋" w:eastAsia="仿宋" w:cs="仿宋"/>
          <w:color w:val="auto"/>
          <w:sz w:val="32"/>
          <w:szCs w:val="32"/>
        </w:rPr>
        <w:t>后</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个工作日内会同法制</w:t>
      </w:r>
      <w:r>
        <w:rPr>
          <w:rFonts w:hint="eastAsia" w:ascii="仿宋" w:hAnsi="仿宋" w:eastAsia="仿宋" w:cs="仿宋"/>
          <w:color w:val="auto"/>
          <w:sz w:val="32"/>
          <w:szCs w:val="32"/>
          <w:lang w:eastAsia="zh-CN"/>
        </w:rPr>
        <w:t>机构确认是否</w:t>
      </w:r>
      <w:r>
        <w:rPr>
          <w:rFonts w:hint="eastAsia" w:ascii="仿宋" w:hAnsi="仿宋" w:eastAsia="仿宋" w:cs="仿宋"/>
          <w:color w:val="auto"/>
          <w:sz w:val="32"/>
          <w:szCs w:val="32"/>
        </w:rPr>
        <w:t>启动生态损害赔偿。经</w:t>
      </w:r>
      <w:r>
        <w:rPr>
          <w:rFonts w:hint="eastAsia" w:ascii="仿宋" w:hAnsi="仿宋" w:eastAsia="仿宋" w:cs="仿宋"/>
          <w:color w:val="auto"/>
          <w:sz w:val="32"/>
          <w:szCs w:val="32"/>
          <w:lang w:eastAsia="zh-CN"/>
        </w:rPr>
        <w:t>确认</w:t>
      </w:r>
      <w:r>
        <w:rPr>
          <w:rFonts w:hint="eastAsia" w:ascii="仿宋" w:hAnsi="仿宋" w:eastAsia="仿宋" w:cs="仿宋"/>
          <w:color w:val="auto"/>
          <w:sz w:val="32"/>
          <w:szCs w:val="32"/>
        </w:rPr>
        <w:t>符合启动条件的，</w:t>
      </w:r>
      <w:r>
        <w:rPr>
          <w:rFonts w:hint="eastAsia" w:ascii="仿宋" w:hAnsi="仿宋" w:eastAsia="仿宋" w:cs="仿宋"/>
          <w:color w:val="auto"/>
          <w:sz w:val="32"/>
          <w:szCs w:val="32"/>
          <w:lang w:eastAsia="zh-CN"/>
        </w:rPr>
        <w:t>按</w:t>
      </w:r>
      <w:r>
        <w:rPr>
          <w:rFonts w:hint="eastAsia" w:ascii="仿宋" w:hAnsi="仿宋" w:eastAsia="仿宋" w:cs="仿宋"/>
          <w:color w:val="auto"/>
          <w:sz w:val="32"/>
          <w:szCs w:val="32"/>
        </w:rPr>
        <w:t>规定填写《生态损害赔偿启动登记表》，启动生态损害赔偿。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eastAsia="zh-CN"/>
        </w:rPr>
        <w:t>第五条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确定启动生态损害赔偿的</w:t>
      </w:r>
      <w:r>
        <w:rPr>
          <w:rFonts w:hint="eastAsia" w:ascii="仿宋" w:hAnsi="仿宋" w:eastAsia="仿宋" w:cs="仿宋"/>
          <w:color w:val="auto"/>
          <w:sz w:val="32"/>
          <w:szCs w:val="32"/>
        </w:rPr>
        <w:t>，由</w:t>
      </w:r>
      <w:r>
        <w:rPr>
          <w:rFonts w:hint="eastAsia" w:ascii="仿宋" w:hAnsi="仿宋" w:eastAsia="仿宋" w:cs="仿宋"/>
          <w:color w:val="auto"/>
          <w:sz w:val="32"/>
          <w:szCs w:val="32"/>
          <w:lang w:eastAsia="zh-CN"/>
        </w:rPr>
        <w:t>负责生态损害赔偿工作的工作机构牵头开展生态损害赔偿鉴定评估，并</w:t>
      </w:r>
      <w:r>
        <w:rPr>
          <w:rFonts w:hint="eastAsia" w:ascii="仿宋" w:hAnsi="仿宋" w:eastAsia="仿宋" w:cs="仿宋"/>
          <w:color w:val="auto"/>
          <w:sz w:val="32"/>
          <w:szCs w:val="32"/>
        </w:rPr>
        <w:t>根据生态环境损害鉴定评估</w:t>
      </w:r>
      <w:r>
        <w:rPr>
          <w:rFonts w:hint="eastAsia" w:ascii="仿宋" w:hAnsi="仿宋" w:eastAsia="仿宋" w:cs="仿宋"/>
          <w:color w:val="auto"/>
          <w:sz w:val="32"/>
          <w:szCs w:val="32"/>
          <w:lang w:eastAsia="zh-CN"/>
        </w:rPr>
        <w:t>意见</w:t>
      </w:r>
      <w:r>
        <w:rPr>
          <w:rFonts w:hint="eastAsia" w:ascii="仿宋" w:hAnsi="仿宋" w:eastAsia="仿宋" w:cs="仿宋"/>
          <w:color w:val="auto"/>
          <w:sz w:val="32"/>
          <w:szCs w:val="32"/>
        </w:rPr>
        <w:t>，与赔偿义务人进行磋商，统筹考虑修复方案技术可行性、成本效益最大化、赔偿义务人赔偿能力、第三方治理可行性等情况，达成赔偿协议。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六</w:t>
      </w:r>
      <w:r>
        <w:rPr>
          <w:rFonts w:hint="eastAsia" w:ascii="仿宋" w:hAnsi="仿宋" w:eastAsia="仿宋" w:cs="仿宋"/>
          <w:b/>
          <w:bCs/>
          <w:color w:val="auto"/>
          <w:sz w:val="32"/>
          <w:szCs w:val="32"/>
        </w:rPr>
        <w:t xml:space="preserve">条 </w:t>
      </w:r>
      <w:r>
        <w:rPr>
          <w:rFonts w:hint="eastAsia" w:ascii="仿宋" w:hAnsi="仿宋" w:eastAsia="仿宋" w:cs="仿宋"/>
          <w:color w:val="auto"/>
          <w:sz w:val="32"/>
          <w:szCs w:val="32"/>
        </w:rPr>
        <w:t>加快组建龙岩市生态损害赔偿</w:t>
      </w:r>
      <w:r>
        <w:rPr>
          <w:rFonts w:hint="eastAsia" w:ascii="仿宋" w:hAnsi="仿宋" w:eastAsia="仿宋" w:cs="仿宋"/>
          <w:color w:val="auto"/>
          <w:sz w:val="32"/>
          <w:szCs w:val="32"/>
          <w:lang w:eastAsia="zh-CN"/>
        </w:rPr>
        <w:t>鉴定</w:t>
      </w:r>
      <w:r>
        <w:rPr>
          <w:rFonts w:hint="eastAsia" w:ascii="仿宋" w:hAnsi="仿宋" w:eastAsia="仿宋" w:cs="仿宋"/>
          <w:color w:val="auto"/>
          <w:sz w:val="32"/>
          <w:szCs w:val="32"/>
        </w:rPr>
        <w:t>评估专家库</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推进生态损害鉴定评估专业力量建设。为磋商提供鉴定意见的鉴定评估机构应当符合国家规定要求，为诉讼提供鉴定意见的鉴定评估机构应当遵守司法行政机关等的相关规定规范。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负责生态损害赔偿工作的部门</w:t>
      </w:r>
      <w:r>
        <w:rPr>
          <w:rFonts w:hint="eastAsia" w:ascii="仿宋" w:hAnsi="仿宋" w:eastAsia="仿宋" w:cs="仿宋"/>
          <w:color w:val="auto"/>
          <w:sz w:val="32"/>
          <w:szCs w:val="32"/>
        </w:rPr>
        <w:t>委托</w:t>
      </w:r>
      <w:r>
        <w:rPr>
          <w:rFonts w:hint="eastAsia" w:ascii="仿宋" w:hAnsi="仿宋" w:eastAsia="仿宋" w:cs="仿宋"/>
          <w:color w:val="auto"/>
          <w:sz w:val="32"/>
          <w:szCs w:val="32"/>
          <w:lang w:eastAsia="zh-CN"/>
        </w:rPr>
        <w:t>生态损害赔偿</w:t>
      </w:r>
      <w:r>
        <w:rPr>
          <w:rFonts w:hint="eastAsia" w:ascii="仿宋" w:hAnsi="仿宋" w:eastAsia="仿宋" w:cs="仿宋"/>
          <w:color w:val="auto"/>
          <w:sz w:val="32"/>
          <w:szCs w:val="32"/>
        </w:rPr>
        <w:t>简易鉴定评估时，应当出具龙岩市生态环境损害案件简易鉴定评估委托书，提供案件相关信息及证据材料，相关信息包括污染物来源及性质、排放数量、排放时间、排放去向、最终污染环境信息等。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七</w:t>
      </w:r>
      <w:r>
        <w:rPr>
          <w:rFonts w:hint="eastAsia" w:ascii="仿宋" w:hAnsi="仿宋" w:eastAsia="仿宋" w:cs="仿宋"/>
          <w:b/>
          <w:bCs/>
          <w:color w:val="auto"/>
          <w:sz w:val="32"/>
          <w:szCs w:val="32"/>
        </w:rPr>
        <w:t>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lang w:val="en-US" w:eastAsia="zh-CN"/>
        </w:rPr>
        <w:t>为提高行政效率、减轻企业负担，市生态环境局委托专业机构根据我市实际调查测算常见污染因子的治理成本（见附表），相关污染因子的虚拟治理成本可按附表计算，具体赔偿金额可根据虚拟治理成本并结合环境损害程度、区域敏感度及行业特征等实际情况综合核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八</w:t>
      </w:r>
      <w:r>
        <w:rPr>
          <w:rFonts w:hint="eastAsia" w:ascii="仿宋" w:hAnsi="仿宋" w:eastAsia="仿宋" w:cs="仿宋"/>
          <w:b/>
          <w:bCs/>
          <w:color w:val="auto"/>
          <w:sz w:val="32"/>
          <w:szCs w:val="32"/>
        </w:rPr>
        <w:t>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rPr>
        <w:t>针对不同案件的具体情形，规范开展生态环境损害</w:t>
      </w:r>
      <w:r>
        <w:rPr>
          <w:rFonts w:hint="eastAsia" w:ascii="仿宋" w:hAnsi="仿宋" w:eastAsia="仿宋" w:cs="仿宋"/>
          <w:color w:val="auto"/>
          <w:sz w:val="32"/>
          <w:szCs w:val="32"/>
          <w:lang w:eastAsia="zh-CN"/>
        </w:rPr>
        <w:t>简易</w:t>
      </w:r>
      <w:r>
        <w:rPr>
          <w:rFonts w:hint="eastAsia" w:ascii="仿宋" w:hAnsi="仿宋" w:eastAsia="仿宋" w:cs="仿宋"/>
          <w:color w:val="auto"/>
          <w:sz w:val="32"/>
          <w:szCs w:val="32"/>
        </w:rPr>
        <w:t>鉴定评估：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（一）针对涉嫌犯罪的环境违法案件。</w:t>
      </w:r>
      <w:r>
        <w:rPr>
          <w:rFonts w:hint="eastAsia" w:ascii="仿宋" w:hAnsi="仿宋" w:eastAsia="仿宋" w:cs="仿宋"/>
          <w:color w:val="auto"/>
          <w:sz w:val="32"/>
          <w:szCs w:val="32"/>
        </w:rPr>
        <w:t>生态环境部门在</w:t>
      </w:r>
      <w:r>
        <w:rPr>
          <w:rFonts w:hint="eastAsia" w:ascii="仿宋" w:hAnsi="仿宋" w:eastAsia="仿宋" w:cs="仿宋"/>
          <w:color w:val="auto"/>
          <w:sz w:val="32"/>
          <w:szCs w:val="32"/>
          <w:lang w:eastAsia="zh-CN"/>
        </w:rPr>
        <w:t>办理</w:t>
      </w:r>
      <w:r>
        <w:rPr>
          <w:rFonts w:hint="eastAsia" w:ascii="仿宋" w:hAnsi="仿宋" w:eastAsia="仿宋" w:cs="仿宋"/>
          <w:color w:val="auto"/>
          <w:sz w:val="32"/>
          <w:szCs w:val="32"/>
        </w:rPr>
        <w:t>涉嫌环境污染犯罪案件</w:t>
      </w:r>
      <w:r>
        <w:rPr>
          <w:rFonts w:hint="eastAsia" w:ascii="仿宋" w:hAnsi="仿宋" w:eastAsia="仿宋" w:cs="仿宋"/>
          <w:color w:val="auto"/>
          <w:sz w:val="32"/>
          <w:szCs w:val="32"/>
          <w:lang w:eastAsia="zh-CN"/>
        </w:rPr>
        <w:t>时</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应</w:t>
      </w:r>
      <w:r>
        <w:rPr>
          <w:rFonts w:hint="eastAsia" w:ascii="仿宋" w:hAnsi="仿宋" w:eastAsia="仿宋" w:cs="仿宋"/>
          <w:color w:val="auto"/>
          <w:sz w:val="32"/>
          <w:szCs w:val="32"/>
        </w:rPr>
        <w:t>委托生态环境损害鉴定评估专家对涉案损害情况进行鉴定评估，出具</w:t>
      </w:r>
      <w:r>
        <w:rPr>
          <w:rFonts w:hint="eastAsia" w:ascii="仿宋" w:hAnsi="仿宋" w:eastAsia="仿宋" w:cs="仿宋"/>
          <w:color w:val="auto"/>
          <w:sz w:val="32"/>
          <w:szCs w:val="32"/>
          <w:lang w:eastAsia="zh-CN"/>
        </w:rPr>
        <w:t>专家</w:t>
      </w:r>
      <w:r>
        <w:rPr>
          <w:rFonts w:hint="eastAsia" w:ascii="仿宋" w:hAnsi="仿宋" w:eastAsia="仿宋" w:cs="仿宋"/>
          <w:color w:val="auto"/>
          <w:sz w:val="32"/>
          <w:szCs w:val="32"/>
        </w:rPr>
        <w:t>意见，确定损害金额。</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（二）针对超标排污案件。</w:t>
      </w:r>
      <w:r>
        <w:rPr>
          <w:rFonts w:hint="eastAsia" w:ascii="仿宋" w:hAnsi="仿宋" w:eastAsia="仿宋" w:cs="仿宋"/>
          <w:color w:val="auto"/>
          <w:sz w:val="32"/>
          <w:szCs w:val="32"/>
        </w:rPr>
        <w:t>对于排放总量能够调查的，根据调查的排放总量和监测报告显示的所有超标因子的排放浓度，计算各因子的超标排放总量；</w:t>
      </w:r>
      <w:r>
        <w:rPr>
          <w:rFonts w:hint="eastAsia" w:ascii="仿宋" w:hAnsi="仿宋" w:eastAsia="仿宋" w:cs="仿宋"/>
          <w:color w:val="auto"/>
          <w:sz w:val="32"/>
          <w:szCs w:val="32"/>
          <w:lang w:eastAsia="zh-CN"/>
        </w:rPr>
        <w:t>对于</w:t>
      </w:r>
      <w:r>
        <w:rPr>
          <w:rFonts w:hint="eastAsia" w:ascii="仿宋" w:hAnsi="仿宋" w:eastAsia="仿宋" w:cs="仿宋"/>
          <w:color w:val="auto"/>
          <w:sz w:val="32"/>
          <w:szCs w:val="32"/>
        </w:rPr>
        <w:t>排放总量无法调查清楚的，参照原征收排污费的</w:t>
      </w:r>
      <w:r>
        <w:rPr>
          <w:rFonts w:hint="eastAsia" w:ascii="仿宋" w:hAnsi="仿宋" w:eastAsia="仿宋" w:cs="仿宋"/>
          <w:color w:val="auto"/>
          <w:sz w:val="32"/>
          <w:szCs w:val="32"/>
          <w:lang w:eastAsia="zh-CN"/>
        </w:rPr>
        <w:t>做法</w:t>
      </w:r>
      <w:r>
        <w:rPr>
          <w:rFonts w:hint="eastAsia" w:ascii="仿宋" w:hAnsi="仿宋" w:eastAsia="仿宋" w:cs="仿宋"/>
          <w:color w:val="auto"/>
          <w:sz w:val="32"/>
          <w:szCs w:val="32"/>
        </w:rPr>
        <w:t>，按一个月</w:t>
      </w:r>
      <w:r>
        <w:rPr>
          <w:rFonts w:hint="eastAsia" w:ascii="仿宋" w:hAnsi="仿宋" w:eastAsia="仿宋" w:cs="仿宋"/>
          <w:color w:val="auto"/>
          <w:sz w:val="32"/>
          <w:szCs w:val="32"/>
          <w:lang w:eastAsia="zh-CN"/>
        </w:rPr>
        <w:t>的排放总量计算</w:t>
      </w:r>
      <w:r>
        <w:rPr>
          <w:rFonts w:hint="eastAsia" w:ascii="仿宋" w:hAnsi="仿宋" w:eastAsia="仿宋" w:cs="仿宋"/>
          <w:color w:val="auto"/>
          <w:sz w:val="32"/>
          <w:szCs w:val="32"/>
        </w:rPr>
        <w:t>。损害金额按照虚拟</w:t>
      </w:r>
      <w:r>
        <w:rPr>
          <w:rFonts w:hint="eastAsia" w:ascii="仿宋" w:hAnsi="仿宋" w:eastAsia="仿宋" w:cs="仿宋"/>
          <w:color w:val="auto"/>
          <w:sz w:val="32"/>
          <w:szCs w:val="32"/>
          <w:lang w:eastAsia="zh-CN"/>
        </w:rPr>
        <w:t>治理</w:t>
      </w:r>
      <w:r>
        <w:rPr>
          <w:rFonts w:hint="eastAsia" w:ascii="仿宋" w:hAnsi="仿宋" w:eastAsia="仿宋" w:cs="仿宋"/>
          <w:color w:val="auto"/>
          <w:sz w:val="32"/>
          <w:szCs w:val="32"/>
        </w:rPr>
        <w:t>成本法计算，常见因子的治理成本</w:t>
      </w:r>
      <w:r>
        <w:rPr>
          <w:rFonts w:hint="eastAsia" w:ascii="仿宋" w:hAnsi="仿宋" w:eastAsia="仿宋" w:cs="仿宋"/>
          <w:color w:val="auto"/>
          <w:sz w:val="32"/>
          <w:szCs w:val="32"/>
          <w:lang w:eastAsia="zh-CN"/>
        </w:rPr>
        <w:t>按</w:t>
      </w:r>
      <w:r>
        <w:rPr>
          <w:rFonts w:hint="eastAsia" w:ascii="仿宋" w:hAnsi="仿宋" w:eastAsia="仿宋" w:cs="仿宋"/>
          <w:color w:val="auto"/>
          <w:sz w:val="32"/>
          <w:szCs w:val="32"/>
        </w:rPr>
        <w:t>附表</w:t>
      </w:r>
      <w:r>
        <w:rPr>
          <w:rFonts w:hint="eastAsia" w:ascii="仿宋" w:hAnsi="仿宋" w:eastAsia="仿宋" w:cs="仿宋"/>
          <w:color w:val="auto"/>
          <w:sz w:val="32"/>
          <w:szCs w:val="32"/>
          <w:lang w:eastAsia="zh-CN"/>
        </w:rPr>
        <w:t>计算</w:t>
      </w:r>
      <w:r>
        <w:rPr>
          <w:rFonts w:hint="eastAsia" w:ascii="仿宋" w:hAnsi="仿宋" w:eastAsia="仿宋" w:cs="仿宋"/>
          <w:color w:val="auto"/>
          <w:sz w:val="32"/>
          <w:szCs w:val="32"/>
        </w:rPr>
        <w:t>。超标因子不在</w:t>
      </w:r>
      <w:r>
        <w:rPr>
          <w:rFonts w:hint="eastAsia" w:ascii="仿宋" w:hAnsi="仿宋" w:eastAsia="仿宋" w:cs="仿宋"/>
          <w:color w:val="auto"/>
          <w:sz w:val="32"/>
          <w:szCs w:val="32"/>
          <w:lang w:eastAsia="zh-CN"/>
        </w:rPr>
        <w:t>附表</w:t>
      </w:r>
      <w:r>
        <w:rPr>
          <w:rFonts w:hint="eastAsia" w:ascii="仿宋" w:hAnsi="仿宋" w:eastAsia="仿宋" w:cs="仿宋"/>
          <w:color w:val="auto"/>
          <w:sz w:val="32"/>
          <w:szCs w:val="32"/>
        </w:rPr>
        <w:t>范围的，</w:t>
      </w:r>
      <w:r>
        <w:rPr>
          <w:rFonts w:hint="eastAsia" w:ascii="仿宋" w:hAnsi="仿宋" w:eastAsia="仿宋" w:cs="仿宋"/>
          <w:color w:val="auto"/>
          <w:sz w:val="32"/>
          <w:szCs w:val="32"/>
          <w:lang w:eastAsia="zh-CN"/>
        </w:rPr>
        <w:t>可</w:t>
      </w:r>
      <w:r>
        <w:rPr>
          <w:rFonts w:hint="eastAsia" w:ascii="仿宋" w:hAnsi="仿宋" w:eastAsia="仿宋" w:cs="仿宋"/>
          <w:color w:val="auto"/>
          <w:sz w:val="32"/>
          <w:szCs w:val="32"/>
        </w:rPr>
        <w:t>委托专家出具</w:t>
      </w:r>
      <w:r>
        <w:rPr>
          <w:rFonts w:hint="eastAsia" w:ascii="仿宋" w:hAnsi="仿宋" w:eastAsia="仿宋" w:cs="仿宋"/>
          <w:color w:val="auto"/>
          <w:sz w:val="32"/>
          <w:szCs w:val="32"/>
          <w:lang w:eastAsia="zh-CN"/>
        </w:rPr>
        <w:t>损害</w:t>
      </w:r>
      <w:r>
        <w:rPr>
          <w:rFonts w:hint="eastAsia" w:ascii="仿宋" w:hAnsi="仿宋" w:eastAsia="仿宋" w:cs="仿宋"/>
          <w:color w:val="auto"/>
          <w:sz w:val="32"/>
          <w:szCs w:val="32"/>
        </w:rPr>
        <w:t>鉴定评估意见。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（三）针对超总量排污案件。</w:t>
      </w:r>
      <w:r>
        <w:rPr>
          <w:rFonts w:hint="eastAsia" w:ascii="仿宋" w:hAnsi="仿宋" w:eastAsia="仿宋" w:cs="仿宋"/>
          <w:color w:val="auto"/>
          <w:sz w:val="32"/>
          <w:szCs w:val="32"/>
        </w:rPr>
        <w:t>参照超标排污案件，按照虚拟</w:t>
      </w:r>
      <w:r>
        <w:rPr>
          <w:rFonts w:hint="eastAsia" w:ascii="仿宋" w:hAnsi="仿宋" w:eastAsia="仿宋" w:cs="仿宋"/>
          <w:color w:val="auto"/>
          <w:sz w:val="32"/>
          <w:szCs w:val="32"/>
          <w:lang w:eastAsia="zh-CN"/>
        </w:rPr>
        <w:t>治理</w:t>
      </w:r>
      <w:r>
        <w:rPr>
          <w:rFonts w:hint="eastAsia" w:ascii="仿宋" w:hAnsi="仿宋" w:eastAsia="仿宋" w:cs="仿宋"/>
          <w:color w:val="auto"/>
          <w:sz w:val="32"/>
          <w:szCs w:val="32"/>
        </w:rPr>
        <w:t>成本法计算超过总量部分的治理成本。</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（四）针对未验先投排污案件。</w:t>
      </w:r>
      <w:r>
        <w:rPr>
          <w:rFonts w:hint="eastAsia" w:ascii="仿宋" w:hAnsi="仿宋" w:eastAsia="仿宋" w:cs="仿宋"/>
          <w:color w:val="auto"/>
          <w:sz w:val="32"/>
          <w:szCs w:val="32"/>
        </w:rPr>
        <w:t>通过调查非法排污时间和正常工况的排污量计算排污总量，按照虚拟</w:t>
      </w:r>
      <w:r>
        <w:rPr>
          <w:rFonts w:hint="eastAsia" w:ascii="仿宋" w:hAnsi="仿宋" w:eastAsia="仿宋" w:cs="仿宋"/>
          <w:color w:val="auto"/>
          <w:sz w:val="32"/>
          <w:szCs w:val="32"/>
          <w:lang w:eastAsia="zh-CN"/>
        </w:rPr>
        <w:t>治理</w:t>
      </w:r>
      <w:r>
        <w:rPr>
          <w:rFonts w:hint="eastAsia" w:ascii="仿宋" w:hAnsi="仿宋" w:eastAsia="仿宋" w:cs="仿宋"/>
          <w:color w:val="auto"/>
          <w:sz w:val="32"/>
          <w:szCs w:val="32"/>
        </w:rPr>
        <w:t>成本法计算治理成本。</w:t>
      </w:r>
      <w:r>
        <w:rPr>
          <w:rFonts w:hint="eastAsia" w:ascii="仿宋" w:hAnsi="仿宋" w:eastAsia="仿宋" w:cs="仿宋"/>
          <w:color w:val="auto"/>
          <w:sz w:val="32"/>
          <w:szCs w:val="32"/>
          <w:lang w:eastAsia="zh-CN"/>
        </w:rPr>
        <w:t>案情</w:t>
      </w:r>
      <w:r>
        <w:rPr>
          <w:rFonts w:hint="eastAsia" w:ascii="仿宋" w:hAnsi="仿宋" w:eastAsia="仿宋" w:cs="仿宋"/>
          <w:color w:val="auto"/>
          <w:sz w:val="32"/>
          <w:szCs w:val="32"/>
        </w:rPr>
        <w:t>复杂的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委托专家出具鉴定评估意见。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（五）针对非法排放倾倒有毒有害物质造成环境污染的案件。</w:t>
      </w:r>
      <w:r>
        <w:rPr>
          <w:rFonts w:hint="eastAsia" w:ascii="仿宋" w:hAnsi="仿宋" w:eastAsia="仿宋" w:cs="仿宋"/>
          <w:color w:val="auto"/>
          <w:sz w:val="32"/>
          <w:szCs w:val="32"/>
        </w:rPr>
        <w:t>委托专家或者有资质的鉴定评估机构开展损害鉴定并出具损害鉴定意见。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（六）针对责令恢复原状案件。</w:t>
      </w:r>
      <w:r>
        <w:rPr>
          <w:rFonts w:hint="eastAsia" w:ascii="仿宋" w:hAnsi="仿宋" w:eastAsia="仿宋" w:cs="仿宋"/>
          <w:b w:val="0"/>
          <w:bCs w:val="0"/>
          <w:color w:val="auto"/>
          <w:sz w:val="32"/>
          <w:szCs w:val="32"/>
          <w:lang w:eastAsia="zh-CN"/>
        </w:rPr>
        <w:t>直接</w:t>
      </w:r>
      <w:r>
        <w:rPr>
          <w:rFonts w:hint="eastAsia" w:ascii="仿宋" w:hAnsi="仿宋" w:eastAsia="仿宋" w:cs="仿宋"/>
          <w:color w:val="auto"/>
          <w:sz w:val="32"/>
          <w:szCs w:val="32"/>
        </w:rPr>
        <w:t>与赔偿义务人签订赔偿协议，</w:t>
      </w:r>
      <w:r>
        <w:rPr>
          <w:rFonts w:hint="eastAsia" w:ascii="仿宋" w:hAnsi="仿宋" w:eastAsia="仿宋" w:cs="仿宋"/>
          <w:color w:val="auto"/>
          <w:sz w:val="32"/>
          <w:szCs w:val="32"/>
          <w:lang w:eastAsia="zh-CN"/>
        </w:rPr>
        <w:t>要求</w:t>
      </w:r>
      <w:r>
        <w:rPr>
          <w:rFonts w:hint="eastAsia" w:ascii="仿宋" w:hAnsi="仿宋" w:eastAsia="仿宋" w:cs="仿宋"/>
          <w:color w:val="auto"/>
          <w:sz w:val="32"/>
          <w:szCs w:val="32"/>
        </w:rPr>
        <w:t>赔偿义务人在规定时限内恢复原状</w:t>
      </w:r>
      <w:r>
        <w:rPr>
          <w:rFonts w:hint="eastAsia" w:ascii="仿宋" w:hAnsi="仿宋" w:eastAsia="仿宋" w:cs="仿宋"/>
          <w:color w:val="auto"/>
          <w:sz w:val="32"/>
          <w:szCs w:val="32"/>
          <w:lang w:eastAsia="zh-CN"/>
        </w:rPr>
        <w:t>后</w:t>
      </w:r>
      <w:r>
        <w:rPr>
          <w:rFonts w:hint="eastAsia" w:ascii="仿宋" w:hAnsi="仿宋" w:eastAsia="仿宋" w:cs="仿宋"/>
          <w:color w:val="auto"/>
          <w:sz w:val="32"/>
          <w:szCs w:val="32"/>
        </w:rPr>
        <w:t>，不再计算损害金额。</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九</w:t>
      </w:r>
      <w:r>
        <w:rPr>
          <w:rFonts w:hint="eastAsia" w:ascii="仿宋" w:hAnsi="仿宋" w:eastAsia="仿宋" w:cs="仿宋"/>
          <w:b/>
          <w:bCs/>
          <w:color w:val="auto"/>
          <w:sz w:val="32"/>
          <w:szCs w:val="32"/>
        </w:rPr>
        <w:t xml:space="preserve">条 </w:t>
      </w:r>
      <w:r>
        <w:rPr>
          <w:rFonts w:hint="eastAsia" w:ascii="仿宋" w:hAnsi="仿宋" w:eastAsia="仿宋" w:cs="仿宋"/>
          <w:color w:val="auto"/>
          <w:sz w:val="32"/>
          <w:szCs w:val="32"/>
        </w:rPr>
        <w:t>针对下列不同情形，启动对应的赔偿磋商程序：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rPr>
        <w:t>（一）针对涉嫌犯罪的环境违法案件。</w:t>
      </w:r>
      <w:r>
        <w:rPr>
          <w:rFonts w:hint="eastAsia" w:ascii="仿宋" w:hAnsi="仿宋" w:eastAsia="仿宋" w:cs="仿宋"/>
          <w:color w:val="auto"/>
          <w:sz w:val="32"/>
          <w:szCs w:val="32"/>
        </w:rPr>
        <w:t>由检察机关在提起公诉前向犯罪嫌疑人</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赔偿义务人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释明生态损害赔偿制度</w:t>
      </w:r>
      <w:r>
        <w:rPr>
          <w:rFonts w:hint="eastAsia" w:ascii="仿宋" w:hAnsi="仿宋" w:eastAsia="仿宋" w:cs="仿宋"/>
          <w:color w:val="auto"/>
          <w:sz w:val="32"/>
          <w:szCs w:val="32"/>
          <w:lang w:eastAsia="zh-CN"/>
        </w:rPr>
        <w:t>。赔</w:t>
      </w:r>
      <w:r>
        <w:rPr>
          <w:rFonts w:hint="eastAsia" w:ascii="仿宋" w:hAnsi="仿宋" w:eastAsia="仿宋" w:cs="仿宋"/>
          <w:color w:val="auto"/>
          <w:sz w:val="32"/>
          <w:szCs w:val="32"/>
        </w:rPr>
        <w:t>偿义务人有赔偿能力并愿意磋商的，由生态环境部门组织检察院、法院等部门与赔偿义务人</w:t>
      </w:r>
      <w:r>
        <w:rPr>
          <w:rFonts w:hint="eastAsia" w:ascii="仿宋" w:hAnsi="仿宋" w:eastAsia="仿宋" w:cs="仿宋"/>
          <w:color w:val="auto"/>
          <w:sz w:val="32"/>
          <w:szCs w:val="32"/>
          <w:lang w:eastAsia="zh-CN"/>
        </w:rPr>
        <w:t>进行</w:t>
      </w:r>
      <w:r>
        <w:rPr>
          <w:rFonts w:hint="eastAsia" w:ascii="仿宋" w:hAnsi="仿宋" w:eastAsia="仿宋" w:cs="仿宋"/>
          <w:color w:val="auto"/>
          <w:sz w:val="32"/>
          <w:szCs w:val="32"/>
        </w:rPr>
        <w:t>磋商（磋商内容包含但不限于赔偿金额、赔偿方式、修复方式等），签订赔偿协议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并向法院申请司法确认。赔偿义务人无赔偿能力或不愿意磋商的，生态环境部门向检察部门提供生态损害鉴定评估意见，由检察院</w:t>
      </w:r>
      <w:r>
        <w:rPr>
          <w:rFonts w:hint="eastAsia" w:ascii="仿宋" w:hAnsi="仿宋" w:eastAsia="仿宋" w:cs="仿宋"/>
          <w:color w:val="auto"/>
          <w:sz w:val="32"/>
          <w:szCs w:val="32"/>
          <w:lang w:eastAsia="zh-CN"/>
        </w:rPr>
        <w:t>提起刑事附带生态环境损害赔偿民事诉讼追索修复费用。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（二）针对赔偿金额</w:t>
      </w:r>
      <w:r>
        <w:rPr>
          <w:rFonts w:hint="eastAsia" w:ascii="仿宋" w:hAnsi="仿宋" w:eastAsia="仿宋" w:cs="仿宋"/>
          <w:b/>
          <w:bCs/>
          <w:color w:val="auto"/>
          <w:sz w:val="32"/>
          <w:szCs w:val="32"/>
          <w:lang w:eastAsia="zh-CN"/>
        </w:rPr>
        <w:t>在</w:t>
      </w:r>
      <w:r>
        <w:rPr>
          <w:rFonts w:hint="eastAsia" w:ascii="仿宋" w:hAnsi="仿宋" w:eastAsia="仿宋" w:cs="仿宋"/>
          <w:b/>
          <w:bCs/>
          <w:color w:val="auto"/>
          <w:sz w:val="32"/>
          <w:szCs w:val="32"/>
        </w:rPr>
        <w:t>10万以上</w:t>
      </w:r>
      <w:r>
        <w:rPr>
          <w:rFonts w:hint="eastAsia" w:ascii="仿宋" w:hAnsi="仿宋" w:eastAsia="仿宋" w:cs="仿宋"/>
          <w:b/>
          <w:bCs/>
          <w:color w:val="auto"/>
          <w:sz w:val="32"/>
          <w:szCs w:val="32"/>
          <w:lang w:val="en-US" w:eastAsia="zh-CN"/>
        </w:rPr>
        <w:t>30万以下</w:t>
      </w:r>
      <w:r>
        <w:rPr>
          <w:rFonts w:hint="eastAsia" w:ascii="仿宋" w:hAnsi="仿宋" w:eastAsia="仿宋" w:cs="仿宋"/>
          <w:b/>
          <w:bCs/>
          <w:color w:val="auto"/>
          <w:sz w:val="32"/>
          <w:szCs w:val="32"/>
        </w:rPr>
        <w:t>的</w:t>
      </w:r>
      <w:r>
        <w:rPr>
          <w:rFonts w:hint="eastAsia" w:ascii="仿宋" w:hAnsi="仿宋" w:eastAsia="仿宋" w:cs="仿宋"/>
          <w:b/>
          <w:bCs/>
          <w:color w:val="auto"/>
          <w:sz w:val="32"/>
          <w:szCs w:val="32"/>
          <w:lang w:eastAsia="zh-CN"/>
        </w:rPr>
        <w:t>生态损害赔偿</w:t>
      </w:r>
      <w:r>
        <w:rPr>
          <w:rFonts w:hint="eastAsia" w:ascii="仿宋" w:hAnsi="仿宋" w:eastAsia="仿宋" w:cs="仿宋"/>
          <w:b/>
          <w:bCs/>
          <w:color w:val="auto"/>
          <w:sz w:val="32"/>
          <w:szCs w:val="32"/>
        </w:rPr>
        <w:t>案件。</w:t>
      </w:r>
      <w:r>
        <w:rPr>
          <w:rFonts w:hint="eastAsia" w:ascii="仿宋" w:hAnsi="仿宋" w:eastAsia="仿宋" w:cs="仿宋"/>
          <w:color w:val="auto"/>
          <w:sz w:val="32"/>
          <w:szCs w:val="32"/>
        </w:rPr>
        <w:t>由生态环境部门组织检察院、法院等部门与赔偿义务人磋商（磋商内容包含但不限于赔偿金额、赔偿方式、修复方式等），签订赔偿协议并依照民事诉讼法向人民法院申请司法确认。</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（三）</w:t>
      </w:r>
      <w:r>
        <w:rPr>
          <w:rFonts w:hint="eastAsia" w:ascii="仿宋" w:hAnsi="仿宋" w:eastAsia="仿宋" w:cs="仿宋"/>
          <w:b/>
          <w:bCs/>
          <w:color w:val="auto"/>
          <w:sz w:val="32"/>
          <w:szCs w:val="32"/>
          <w:lang w:eastAsia="zh-CN"/>
        </w:rPr>
        <w:t>针对</w:t>
      </w:r>
      <w:r>
        <w:rPr>
          <w:rFonts w:hint="eastAsia" w:ascii="仿宋" w:hAnsi="仿宋" w:eastAsia="仿宋" w:cs="仿宋"/>
          <w:b/>
          <w:bCs/>
          <w:color w:val="auto"/>
          <w:sz w:val="32"/>
          <w:szCs w:val="32"/>
        </w:rPr>
        <w:t>赔偿金额</w:t>
      </w:r>
      <w:r>
        <w:rPr>
          <w:rFonts w:hint="eastAsia" w:ascii="仿宋" w:hAnsi="仿宋" w:eastAsia="仿宋" w:cs="仿宋"/>
          <w:b/>
          <w:bCs/>
          <w:color w:val="auto"/>
          <w:sz w:val="32"/>
          <w:szCs w:val="32"/>
          <w:lang w:eastAsia="zh-CN"/>
        </w:rPr>
        <w:t>在</w:t>
      </w:r>
      <w:r>
        <w:rPr>
          <w:rFonts w:hint="eastAsia" w:ascii="仿宋" w:hAnsi="仿宋" w:eastAsia="仿宋" w:cs="仿宋"/>
          <w:b/>
          <w:bCs/>
          <w:color w:val="auto"/>
          <w:sz w:val="32"/>
          <w:szCs w:val="32"/>
          <w:lang w:val="en-US" w:eastAsia="zh-CN"/>
        </w:rPr>
        <w:t>1万以上</w:t>
      </w:r>
      <w:r>
        <w:rPr>
          <w:rFonts w:hint="eastAsia" w:ascii="仿宋" w:hAnsi="仿宋" w:eastAsia="仿宋" w:cs="仿宋"/>
          <w:b/>
          <w:bCs/>
          <w:color w:val="auto"/>
          <w:sz w:val="32"/>
          <w:szCs w:val="32"/>
        </w:rPr>
        <w:t>10万以下的</w:t>
      </w:r>
      <w:r>
        <w:rPr>
          <w:rFonts w:hint="eastAsia" w:ascii="仿宋" w:hAnsi="仿宋" w:eastAsia="仿宋" w:cs="仿宋"/>
          <w:b/>
          <w:bCs/>
          <w:color w:val="auto"/>
          <w:sz w:val="32"/>
          <w:szCs w:val="32"/>
          <w:lang w:eastAsia="zh-CN"/>
        </w:rPr>
        <w:t>生态损害赔偿</w:t>
      </w:r>
      <w:r>
        <w:rPr>
          <w:rFonts w:hint="eastAsia" w:ascii="仿宋" w:hAnsi="仿宋" w:eastAsia="仿宋" w:cs="仿宋"/>
          <w:b/>
          <w:bCs/>
          <w:color w:val="auto"/>
          <w:sz w:val="32"/>
          <w:szCs w:val="32"/>
        </w:rPr>
        <w:t>案件</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签订损害赔偿协议时，</w:t>
      </w:r>
      <w:r>
        <w:rPr>
          <w:rFonts w:hint="eastAsia" w:ascii="仿宋" w:hAnsi="仿宋" w:eastAsia="仿宋" w:cs="仿宋"/>
          <w:color w:val="auto"/>
          <w:sz w:val="32"/>
          <w:szCs w:val="32"/>
        </w:rPr>
        <w:t>由生态环境部门法制机构</w:t>
      </w:r>
      <w:r>
        <w:rPr>
          <w:rFonts w:hint="eastAsia" w:ascii="仿宋" w:hAnsi="仿宋" w:eastAsia="仿宋" w:cs="仿宋"/>
          <w:color w:val="auto"/>
          <w:sz w:val="32"/>
          <w:szCs w:val="32"/>
          <w:lang w:eastAsia="zh-CN"/>
        </w:rPr>
        <w:t>、执法部门</w:t>
      </w:r>
      <w:r>
        <w:rPr>
          <w:rFonts w:hint="eastAsia" w:ascii="仿宋" w:hAnsi="仿宋" w:eastAsia="仿宋" w:cs="仿宋"/>
          <w:color w:val="auto"/>
          <w:sz w:val="32"/>
          <w:szCs w:val="32"/>
        </w:rPr>
        <w:t>和相关业务科(股)室参加，检察院、法院工作人员视情况参加。</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eastAsia="zh-CN"/>
        </w:rPr>
        <w:t>（四）针对</w:t>
      </w:r>
      <w:r>
        <w:rPr>
          <w:rFonts w:hint="eastAsia" w:ascii="仿宋" w:hAnsi="仿宋" w:eastAsia="仿宋" w:cs="仿宋"/>
          <w:b/>
          <w:bCs/>
          <w:color w:val="auto"/>
          <w:sz w:val="32"/>
          <w:szCs w:val="32"/>
        </w:rPr>
        <w:t>赔偿金额</w:t>
      </w:r>
      <w:r>
        <w:rPr>
          <w:rFonts w:hint="eastAsia" w:ascii="仿宋" w:hAnsi="仿宋" w:eastAsia="仿宋" w:cs="仿宋"/>
          <w:b/>
          <w:bCs/>
          <w:color w:val="auto"/>
          <w:sz w:val="32"/>
          <w:szCs w:val="32"/>
          <w:lang w:eastAsia="zh-CN"/>
        </w:rPr>
        <w:t>在</w:t>
      </w:r>
      <w:r>
        <w:rPr>
          <w:rFonts w:hint="eastAsia" w:ascii="仿宋" w:hAnsi="仿宋" w:eastAsia="仿宋" w:cs="仿宋"/>
          <w:b/>
          <w:bCs/>
          <w:color w:val="auto"/>
          <w:sz w:val="32"/>
          <w:szCs w:val="32"/>
          <w:lang w:val="en-US" w:eastAsia="zh-CN"/>
        </w:rPr>
        <w:t>1万</w:t>
      </w:r>
      <w:r>
        <w:rPr>
          <w:rFonts w:hint="eastAsia" w:ascii="仿宋" w:hAnsi="仿宋" w:eastAsia="仿宋" w:cs="仿宋"/>
          <w:b/>
          <w:bCs/>
          <w:color w:val="auto"/>
          <w:sz w:val="32"/>
          <w:szCs w:val="32"/>
        </w:rPr>
        <w:t>以下的</w:t>
      </w:r>
      <w:r>
        <w:rPr>
          <w:rFonts w:hint="eastAsia" w:ascii="仿宋" w:hAnsi="仿宋" w:eastAsia="仿宋" w:cs="仿宋"/>
          <w:b/>
          <w:bCs/>
          <w:color w:val="auto"/>
          <w:sz w:val="32"/>
          <w:szCs w:val="32"/>
          <w:lang w:eastAsia="zh-CN"/>
        </w:rPr>
        <w:t>生态损害赔偿</w:t>
      </w:r>
      <w:r>
        <w:rPr>
          <w:rFonts w:hint="eastAsia" w:ascii="仿宋" w:hAnsi="仿宋" w:eastAsia="仿宋" w:cs="仿宋"/>
          <w:b/>
          <w:bCs/>
          <w:color w:val="auto"/>
          <w:sz w:val="32"/>
          <w:szCs w:val="32"/>
        </w:rPr>
        <w:t>案件</w:t>
      </w:r>
      <w:r>
        <w:rPr>
          <w:rFonts w:hint="eastAsia" w:ascii="仿宋" w:hAnsi="仿宋" w:eastAsia="仿宋" w:cs="仿宋"/>
          <w:color w:val="auto"/>
          <w:sz w:val="32"/>
          <w:szCs w:val="32"/>
        </w:rPr>
        <w:t>。对于案情简单，行政处罚金额</w:t>
      </w:r>
      <w:r>
        <w:rPr>
          <w:rFonts w:hint="eastAsia" w:ascii="仿宋" w:hAnsi="仿宋" w:eastAsia="仿宋" w:cs="仿宋"/>
          <w:color w:val="auto"/>
          <w:sz w:val="32"/>
          <w:szCs w:val="32"/>
          <w:lang w:eastAsia="zh-CN"/>
        </w:rPr>
        <w:t>在</w:t>
      </w:r>
      <w:r>
        <w:rPr>
          <w:rFonts w:hint="eastAsia" w:ascii="仿宋" w:hAnsi="仿宋" w:eastAsia="仿宋" w:cs="仿宋"/>
          <w:color w:val="auto"/>
          <w:sz w:val="32"/>
          <w:szCs w:val="32"/>
        </w:rPr>
        <w:t>15万以下且赔偿金额在1万元以下的，可由执法部门与赔偿义务人先签订生态损害赔偿意向协议，再根据实际磋商情况签订损害赔偿协议。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十</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eastAsia="zh-CN"/>
        </w:rPr>
        <w:t>执法机构下达行政处罚前应当向违法行为人说明生态环境损害赔偿制度，鼓励、引导其主动进行生态环境损害赔偿。</w:t>
      </w:r>
      <w:r>
        <w:rPr>
          <w:rFonts w:hint="eastAsia" w:ascii="仿宋" w:hAnsi="仿宋" w:eastAsia="仿宋" w:cs="仿宋"/>
          <w:color w:val="auto"/>
          <w:sz w:val="32"/>
          <w:szCs w:val="32"/>
        </w:rPr>
        <w:t>赔偿义务人积极配合调查、参与磋商、履行协议的，应当依据《行政处罚法》和《福建省生态环境处罚裁量规则和基准》的规定，适用从轻、减轻、不予行政处罚等情形，或提交司法机关和信用管理部门，供其在审理案件和信用管理时参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rPr>
        <w:t>第十</w:t>
      </w:r>
      <w:r>
        <w:rPr>
          <w:rFonts w:hint="eastAsia" w:ascii="仿宋" w:hAnsi="仿宋" w:eastAsia="仿宋" w:cs="仿宋"/>
          <w:b/>
          <w:bCs/>
          <w:color w:val="auto"/>
          <w:sz w:val="32"/>
          <w:szCs w:val="32"/>
          <w:lang w:eastAsia="zh-CN"/>
        </w:rPr>
        <w:t>一</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赔偿义务人应当依法积极配合生态环境损害赔偿调查、鉴定评估等工作，参与索赔磋商，实施修复，全面履行赔偿义务。水污染的生态损害赔偿案件，可采用增殖放流的方式实施修复；大气污染的生态损害赔偿案件，可采用补植复绿的方式实施修复。优先就地修复，无法就地修复的可异地替代修复，也可直接向财政缴纳生态损害赔偿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第十</w:t>
      </w:r>
      <w:r>
        <w:rPr>
          <w:rFonts w:hint="eastAsia" w:ascii="仿宋" w:hAnsi="仿宋" w:eastAsia="仿宋" w:cs="仿宋"/>
          <w:b/>
          <w:bCs/>
          <w:color w:val="auto"/>
          <w:sz w:val="32"/>
          <w:szCs w:val="32"/>
          <w:lang w:eastAsia="zh-CN"/>
        </w:rPr>
        <w:t>二</w:t>
      </w:r>
      <w:r>
        <w:rPr>
          <w:rFonts w:hint="eastAsia" w:ascii="仿宋" w:hAnsi="仿宋" w:eastAsia="仿宋" w:cs="仿宋"/>
          <w:b/>
          <w:bCs/>
          <w:color w:val="auto"/>
          <w:sz w:val="32"/>
          <w:szCs w:val="32"/>
        </w:rPr>
        <w:t>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lang w:eastAsia="zh-CN"/>
        </w:rPr>
        <w:t>协议签订以后，</w:t>
      </w:r>
      <w:r>
        <w:rPr>
          <w:rFonts w:hint="eastAsia" w:ascii="仿宋" w:hAnsi="仿宋" w:eastAsia="仿宋" w:cs="仿宋"/>
          <w:color w:val="auto"/>
          <w:sz w:val="32"/>
          <w:szCs w:val="32"/>
          <w:lang w:val="en-US" w:eastAsia="zh-CN"/>
        </w:rPr>
        <w:t>赔偿权利人及其指定的部门或机构有权要求赔偿义务人在合理期限内承担生态环境损害赔偿责任并</w:t>
      </w:r>
      <w:r>
        <w:rPr>
          <w:rFonts w:hint="eastAsia" w:ascii="仿宋" w:hAnsi="仿宋" w:eastAsia="仿宋" w:cs="仿宋"/>
          <w:color w:val="auto"/>
          <w:sz w:val="32"/>
          <w:szCs w:val="32"/>
        </w:rPr>
        <w:t>督促赔偿义务人按协议履行赔偿义务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生态环境损害赔偿义务人拒绝履行赔偿义务的，及时启动赔偿诉讼程序追究其赔偿责任。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rPr>
        <w:t>第十</w:t>
      </w:r>
      <w:r>
        <w:rPr>
          <w:rFonts w:hint="eastAsia" w:ascii="仿宋" w:hAnsi="仿宋" w:eastAsia="仿宋" w:cs="仿宋"/>
          <w:b/>
          <w:bCs/>
          <w:color w:val="auto"/>
          <w:sz w:val="32"/>
          <w:szCs w:val="32"/>
          <w:lang w:eastAsia="zh-CN"/>
        </w:rPr>
        <w:t>三</w:t>
      </w:r>
      <w:r>
        <w:rPr>
          <w:rFonts w:hint="eastAsia" w:ascii="仿宋" w:hAnsi="仿宋" w:eastAsia="仿宋" w:cs="仿宋"/>
          <w:b/>
          <w:bCs/>
          <w:color w:val="auto"/>
          <w:sz w:val="32"/>
          <w:szCs w:val="32"/>
        </w:rPr>
        <w:t>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rPr>
        <w:t>赔偿金额</w:t>
      </w:r>
      <w:r>
        <w:rPr>
          <w:rFonts w:hint="eastAsia" w:ascii="仿宋" w:hAnsi="仿宋" w:eastAsia="仿宋" w:cs="仿宋"/>
          <w:color w:val="auto"/>
          <w:sz w:val="32"/>
          <w:szCs w:val="32"/>
          <w:lang w:eastAsia="zh-CN"/>
        </w:rPr>
        <w:t>在</w:t>
      </w:r>
      <w:r>
        <w:rPr>
          <w:rFonts w:hint="eastAsia" w:ascii="仿宋" w:hAnsi="仿宋" w:eastAsia="仿宋" w:cs="仿宋"/>
          <w:color w:val="auto"/>
          <w:sz w:val="32"/>
          <w:szCs w:val="32"/>
        </w:rPr>
        <w:t>10万以下的由赔偿义务人履行义务后向签订协议的部门提供佐证材料备案，逾期不履行的由</w:t>
      </w:r>
      <w:r>
        <w:rPr>
          <w:rFonts w:hint="eastAsia" w:ascii="仿宋" w:hAnsi="仿宋" w:eastAsia="仿宋" w:cs="仿宋"/>
          <w:color w:val="auto"/>
          <w:sz w:val="32"/>
          <w:szCs w:val="32"/>
          <w:lang w:eastAsia="zh-CN"/>
        </w:rPr>
        <w:t>签订协议的</w:t>
      </w:r>
      <w:r>
        <w:rPr>
          <w:rFonts w:hint="eastAsia" w:ascii="仿宋" w:hAnsi="仿宋" w:eastAsia="仿宋" w:cs="仿宋"/>
          <w:color w:val="auto"/>
          <w:sz w:val="32"/>
          <w:szCs w:val="32"/>
        </w:rPr>
        <w:t>部门</w:t>
      </w:r>
      <w:r>
        <w:rPr>
          <w:rFonts w:hint="eastAsia" w:ascii="仿宋" w:hAnsi="仿宋" w:eastAsia="仿宋" w:cs="仿宋"/>
          <w:color w:val="auto"/>
          <w:sz w:val="32"/>
          <w:szCs w:val="32"/>
          <w:lang w:eastAsia="zh-CN"/>
        </w:rPr>
        <w:t>督促履行将其</w:t>
      </w:r>
      <w:r>
        <w:rPr>
          <w:rFonts w:hint="eastAsia" w:ascii="仿宋" w:hAnsi="仿宋" w:eastAsia="仿宋" w:cs="仿宋"/>
          <w:color w:val="auto"/>
          <w:sz w:val="32"/>
          <w:szCs w:val="32"/>
        </w:rPr>
        <w:t>列入重点监管对象，实施重点监管。赔偿金额</w:t>
      </w:r>
      <w:r>
        <w:rPr>
          <w:rFonts w:hint="eastAsia" w:ascii="仿宋" w:hAnsi="仿宋" w:eastAsia="仿宋" w:cs="仿宋"/>
          <w:color w:val="auto"/>
          <w:sz w:val="32"/>
          <w:szCs w:val="32"/>
          <w:lang w:eastAsia="zh-CN"/>
        </w:rPr>
        <w:t>在</w:t>
      </w:r>
      <w:r>
        <w:rPr>
          <w:rFonts w:hint="eastAsia" w:ascii="仿宋" w:hAnsi="仿宋" w:eastAsia="仿宋" w:cs="仿宋"/>
          <w:color w:val="auto"/>
          <w:sz w:val="32"/>
          <w:szCs w:val="32"/>
        </w:rPr>
        <w:t>10万以上的，由赔偿义务人组织自主验收，验收报告向签订协议的部门备案，逾期不履行生态损害赔偿义务的，赔偿权利人及其指定的部门或机构</w:t>
      </w:r>
      <w:r>
        <w:rPr>
          <w:rFonts w:hint="eastAsia" w:ascii="仿宋" w:hAnsi="仿宋" w:eastAsia="仿宋" w:cs="仿宋"/>
          <w:color w:val="auto"/>
          <w:sz w:val="32"/>
          <w:szCs w:val="32"/>
          <w:lang w:eastAsia="zh-CN"/>
        </w:rPr>
        <w:t>应</w:t>
      </w:r>
      <w:r>
        <w:rPr>
          <w:rFonts w:hint="eastAsia" w:ascii="仿宋" w:hAnsi="仿宋" w:eastAsia="仿宋" w:cs="仿宋"/>
          <w:color w:val="auto"/>
          <w:sz w:val="32"/>
          <w:szCs w:val="32"/>
        </w:rPr>
        <w:t>向人民法院申请强制执行</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第十</w:t>
      </w:r>
      <w:r>
        <w:rPr>
          <w:rFonts w:hint="eastAsia" w:ascii="仿宋" w:hAnsi="仿宋" w:eastAsia="仿宋" w:cs="仿宋"/>
          <w:b/>
          <w:bCs/>
          <w:color w:val="auto"/>
          <w:sz w:val="32"/>
          <w:szCs w:val="32"/>
          <w:lang w:eastAsia="zh-CN"/>
        </w:rPr>
        <w:t>四</w:t>
      </w:r>
      <w:r>
        <w:rPr>
          <w:rFonts w:hint="eastAsia" w:ascii="仿宋" w:hAnsi="仿宋" w:eastAsia="仿宋" w:cs="仿宋"/>
          <w:b/>
          <w:bCs/>
          <w:color w:val="auto"/>
          <w:sz w:val="32"/>
          <w:szCs w:val="32"/>
        </w:rPr>
        <w:t>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rPr>
        <w:t>赔偿权利人对磋商或诉讼后的生态环境修复效果进行评估，确保生态环境得到及时有效修复。生态环境损害赔偿款项使用情况、生态环境修复效果要向社会公布，接受公众监督。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eastAsia="zh-CN"/>
        </w:rPr>
        <w:t>第十五条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lang w:val="en-US" w:eastAsia="zh-CN"/>
        </w:rPr>
        <w:t>生态环境部门及其工作人员、鉴定评估机构及其工作人员存在隐瞒事实、弄虚作假、滥用职权、玩忽职守、徇私舞弊等违法违规行为的，依法依规追究责任。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第十六条</w:t>
      </w:r>
      <w:r>
        <w:rPr>
          <w:rFonts w:hint="eastAsia" w:ascii="仿宋" w:hAnsi="仿宋" w:eastAsia="仿宋" w:cs="仿宋"/>
          <w:color w:val="auto"/>
          <w:sz w:val="32"/>
          <w:szCs w:val="32"/>
          <w:lang w:val="en-US" w:eastAsia="zh-CN"/>
        </w:rPr>
        <w:t xml:space="preserve"> 本办法自印发之日起试行，试行期2年，</w:t>
      </w:r>
      <w:r>
        <w:rPr>
          <w:rFonts w:hint="eastAsia" w:ascii="仿宋" w:hAnsi="仿宋" w:eastAsia="仿宋" w:cs="仿宋"/>
          <w:color w:val="auto"/>
          <w:sz w:val="32"/>
          <w:szCs w:val="32"/>
          <w:lang w:eastAsia="zh-CN"/>
        </w:rPr>
        <w:t>各行业主管部门可根据实际情况参照执行，</w:t>
      </w:r>
      <w:r>
        <w:rPr>
          <w:rFonts w:hint="eastAsia" w:ascii="仿宋" w:hAnsi="仿宋" w:eastAsia="仿宋" w:cs="仿宋"/>
          <w:color w:val="auto"/>
          <w:sz w:val="32"/>
          <w:szCs w:val="32"/>
          <w:lang w:val="en-US" w:eastAsia="zh-CN"/>
        </w:rPr>
        <w:t>本办法由龙岩市生态环境局负责解释。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p>
    <w:p>
      <w:pPr>
        <w:jc w:val="center"/>
        <w:rPr>
          <w:rFonts w:hint="eastAsia"/>
          <w:b/>
          <w:bCs/>
          <w:color w:val="auto"/>
          <w:sz w:val="44"/>
          <w:szCs w:val="44"/>
          <w:lang w:val="en-US" w:eastAsia="zh-CN"/>
        </w:rPr>
      </w:pPr>
    </w:p>
    <w:p>
      <w:pPr>
        <w:jc w:val="center"/>
        <w:rPr>
          <w:rFonts w:hint="eastAsia"/>
          <w:b/>
          <w:bCs/>
          <w:color w:val="auto"/>
          <w:sz w:val="44"/>
          <w:szCs w:val="44"/>
          <w:lang w:val="en-US" w:eastAsia="zh-CN"/>
        </w:rPr>
      </w:pPr>
    </w:p>
    <w:p>
      <w:pPr>
        <w:jc w:val="center"/>
        <w:rPr>
          <w:rFonts w:hint="eastAsia"/>
          <w:b/>
          <w:bCs/>
          <w:color w:val="auto"/>
          <w:sz w:val="44"/>
          <w:szCs w:val="44"/>
          <w:lang w:val="en-US" w:eastAsia="zh-CN"/>
        </w:rPr>
      </w:pPr>
    </w:p>
    <w:p>
      <w:pPr>
        <w:jc w:val="center"/>
        <w:rPr>
          <w:rFonts w:hint="eastAsia"/>
          <w:b/>
          <w:bCs/>
          <w:color w:val="auto"/>
          <w:sz w:val="44"/>
          <w:szCs w:val="44"/>
          <w:lang w:val="en-US" w:eastAsia="zh-CN"/>
        </w:rPr>
      </w:pPr>
    </w:p>
    <w:p>
      <w:pPr>
        <w:jc w:val="center"/>
        <w:rPr>
          <w:rFonts w:hint="eastAsia"/>
          <w:b/>
          <w:bCs/>
          <w:color w:val="auto"/>
          <w:sz w:val="44"/>
          <w:szCs w:val="44"/>
          <w:lang w:val="en-US" w:eastAsia="zh-CN"/>
        </w:rPr>
      </w:pPr>
    </w:p>
    <w:p>
      <w:pPr>
        <w:jc w:val="center"/>
        <w:rPr>
          <w:rFonts w:hint="eastAsia"/>
          <w:b/>
          <w:bCs/>
          <w:color w:val="auto"/>
          <w:sz w:val="44"/>
          <w:szCs w:val="44"/>
          <w:lang w:val="en-US" w:eastAsia="zh-CN"/>
        </w:rPr>
      </w:pPr>
    </w:p>
    <w:p>
      <w:pPr>
        <w:jc w:val="center"/>
        <w:rPr>
          <w:rFonts w:hint="eastAsia"/>
          <w:b/>
          <w:bCs/>
          <w:color w:val="auto"/>
          <w:sz w:val="44"/>
          <w:szCs w:val="44"/>
          <w:lang w:val="en-US" w:eastAsia="zh-CN"/>
        </w:rPr>
      </w:pPr>
    </w:p>
    <w:p>
      <w:pPr>
        <w:jc w:val="center"/>
        <w:rPr>
          <w:rFonts w:hint="eastAsia"/>
          <w:b/>
          <w:bCs/>
          <w:color w:val="auto"/>
          <w:sz w:val="44"/>
          <w:szCs w:val="44"/>
          <w:lang w:val="en-US" w:eastAsia="zh-CN"/>
        </w:rPr>
      </w:pPr>
    </w:p>
    <w:p>
      <w:pPr>
        <w:jc w:val="center"/>
        <w:rPr>
          <w:rFonts w:hint="eastAsia"/>
          <w:b/>
          <w:bCs/>
          <w:color w:val="auto"/>
          <w:sz w:val="44"/>
          <w:szCs w:val="44"/>
          <w:lang w:val="en-US" w:eastAsia="zh-CN"/>
        </w:rPr>
      </w:pPr>
    </w:p>
    <w:p>
      <w:pPr>
        <w:jc w:val="center"/>
        <w:rPr>
          <w:rFonts w:hint="eastAsia"/>
          <w:b/>
          <w:bCs/>
          <w:color w:val="auto"/>
          <w:sz w:val="44"/>
          <w:szCs w:val="44"/>
          <w:lang w:val="en-US" w:eastAsia="zh-CN"/>
        </w:rPr>
      </w:pPr>
    </w:p>
    <w:p>
      <w:pPr>
        <w:jc w:val="center"/>
        <w:rPr>
          <w:rFonts w:hint="eastAsia"/>
          <w:b/>
          <w:bCs/>
          <w:color w:val="auto"/>
          <w:sz w:val="44"/>
          <w:szCs w:val="44"/>
          <w:lang w:val="en-US" w:eastAsia="zh-CN"/>
        </w:rPr>
      </w:pPr>
    </w:p>
    <w:p>
      <w:pPr>
        <w:jc w:val="center"/>
        <w:rPr>
          <w:rFonts w:hint="eastAsia"/>
          <w:b/>
          <w:bCs/>
          <w:color w:val="auto"/>
          <w:sz w:val="44"/>
          <w:szCs w:val="44"/>
          <w:lang w:val="en-US" w:eastAsia="zh-CN"/>
        </w:rPr>
      </w:pPr>
    </w:p>
    <w:p>
      <w:pPr>
        <w:jc w:val="center"/>
        <w:rPr>
          <w:rFonts w:hint="eastAsia"/>
          <w:b/>
          <w:bCs/>
          <w:color w:val="auto"/>
          <w:sz w:val="44"/>
          <w:szCs w:val="44"/>
          <w:lang w:val="en-US" w:eastAsia="zh-CN"/>
        </w:rPr>
      </w:pPr>
    </w:p>
    <w:p>
      <w:pPr>
        <w:jc w:val="center"/>
        <w:rPr>
          <w:rFonts w:hint="eastAsia"/>
          <w:b/>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附表</w:t>
      </w:r>
    </w:p>
    <w:p>
      <w:pPr>
        <w:jc w:val="center"/>
        <w:rPr>
          <w:rFonts w:hint="default"/>
          <w:b/>
          <w:bCs/>
          <w:color w:val="auto"/>
          <w:sz w:val="36"/>
          <w:szCs w:val="36"/>
          <w:lang w:val="en-US" w:eastAsia="zh-CN"/>
        </w:rPr>
      </w:pPr>
      <w:r>
        <w:rPr>
          <w:rFonts w:hint="eastAsia"/>
          <w:b/>
          <w:bCs/>
          <w:color w:val="auto"/>
          <w:sz w:val="36"/>
          <w:szCs w:val="36"/>
          <w:lang w:val="en-US" w:eastAsia="zh-CN"/>
        </w:rPr>
        <w:t xml:space="preserve">  涉水</w:t>
      </w:r>
      <w:r>
        <w:rPr>
          <w:rFonts w:hint="eastAsia"/>
          <w:b/>
          <w:bCs/>
          <w:color w:val="auto"/>
          <w:sz w:val="36"/>
          <w:szCs w:val="36"/>
          <w:lang w:eastAsia="zh-CN"/>
        </w:rPr>
        <w:t>主要污染因子治理费用</w:t>
      </w:r>
      <w:r>
        <w:rPr>
          <w:rFonts w:hint="eastAsia"/>
          <w:b/>
          <w:bCs/>
          <w:color w:val="auto"/>
          <w:sz w:val="36"/>
          <w:szCs w:val="36"/>
          <w:lang w:val="en-US" w:eastAsia="zh-CN"/>
        </w:rPr>
        <w:t>计算方法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本方法参照工业污水处理厂收费法计算，基准费用为1.2元/m</w:t>
      </w:r>
      <w:r>
        <w:rPr>
          <w:rFonts w:hint="eastAsia" w:ascii="仿宋" w:hAnsi="仿宋" w:eastAsia="仿宋" w:cs="仿宋"/>
          <w:color w:val="auto"/>
          <w:sz w:val="32"/>
          <w:szCs w:val="32"/>
          <w:vertAlign w:val="superscript"/>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根据实际超标的因子和浓度分档计算。</w:t>
      </w:r>
    </w:p>
    <w:tbl>
      <w:tblPr>
        <w:tblStyle w:val="6"/>
        <w:tblW w:w="8734" w:type="dxa"/>
        <w:tblInd w:w="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8"/>
        <w:gridCol w:w="1410"/>
        <w:gridCol w:w="1215"/>
        <w:gridCol w:w="4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noWrap/>
            <w:vAlign w:val="center"/>
          </w:tcPr>
          <w:p>
            <w:pPr>
              <w:pStyle w:val="2"/>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超标污染物名称</w:t>
            </w:r>
          </w:p>
        </w:tc>
        <w:tc>
          <w:tcPr>
            <w:tcW w:w="1410" w:type="dxa"/>
            <w:noWrap/>
            <w:vAlign w:val="center"/>
          </w:tcPr>
          <w:p>
            <w:pPr>
              <w:pStyle w:val="2"/>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基准值</w:t>
            </w:r>
          </w:p>
        </w:tc>
        <w:tc>
          <w:tcPr>
            <w:tcW w:w="1215" w:type="dxa"/>
            <w:noWrap/>
            <w:vAlign w:val="center"/>
          </w:tcPr>
          <w:p>
            <w:pPr>
              <w:pStyle w:val="2"/>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每档值</w:t>
            </w:r>
          </w:p>
        </w:tc>
        <w:tc>
          <w:tcPr>
            <w:tcW w:w="4421" w:type="dxa"/>
            <w:noWrap/>
          </w:tcPr>
          <w:p>
            <w:pPr>
              <w:pStyle w:val="2"/>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超基准值按每一档收取污水处理费（元/立方米）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noWrap/>
            <w:vAlign w:val="center"/>
          </w:tcPr>
          <w:p>
            <w:pPr>
              <w:pStyle w:val="2"/>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酸碱度（PH值）</w:t>
            </w:r>
          </w:p>
        </w:tc>
        <w:tc>
          <w:tcPr>
            <w:tcW w:w="1410" w:type="dxa"/>
            <w:noWrap/>
            <w:vAlign w:val="center"/>
          </w:tcPr>
          <w:p>
            <w:pPr>
              <w:pStyle w:val="2"/>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6-9</w:t>
            </w:r>
          </w:p>
        </w:tc>
        <w:tc>
          <w:tcPr>
            <w:tcW w:w="1215" w:type="dxa"/>
            <w:noWrap/>
            <w:vAlign w:val="center"/>
          </w:tcPr>
          <w:p>
            <w:pPr>
              <w:pStyle w:val="2"/>
              <w:ind w:firstLine="56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w:t>
            </w:r>
          </w:p>
        </w:tc>
        <w:tc>
          <w:tcPr>
            <w:tcW w:w="4421" w:type="dxa"/>
            <w:noWrap/>
          </w:tcPr>
          <w:p>
            <w:pPr>
              <w:pStyle w:val="2"/>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＜6时每档加收0.60元，＞9时每档加收0.30元。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688" w:type="dxa"/>
            <w:noWrap/>
            <w:vAlign w:val="center"/>
          </w:tcPr>
          <w:p>
            <w:pPr>
              <w:pStyle w:val="2"/>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悬浮物（SS）</w:t>
            </w:r>
          </w:p>
        </w:tc>
        <w:tc>
          <w:tcPr>
            <w:tcW w:w="1410" w:type="dxa"/>
            <w:noWrap/>
            <w:vAlign w:val="center"/>
          </w:tcPr>
          <w:p>
            <w:pPr>
              <w:pStyle w:val="2"/>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250（mg/L）</w:t>
            </w:r>
          </w:p>
        </w:tc>
        <w:tc>
          <w:tcPr>
            <w:tcW w:w="1215" w:type="dxa"/>
            <w:noWrap/>
          </w:tcPr>
          <w:p>
            <w:pPr>
              <w:pStyle w:val="2"/>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50（mg/L）</w:t>
            </w:r>
          </w:p>
        </w:tc>
        <w:tc>
          <w:tcPr>
            <w:tcW w:w="4421" w:type="dxa"/>
            <w:noWrap/>
            <w:vAlign w:val="center"/>
          </w:tcPr>
          <w:p>
            <w:pPr>
              <w:pStyle w:val="2"/>
              <w:ind w:firstLine="56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88" w:type="dxa"/>
            <w:noWrap/>
            <w:vAlign w:val="center"/>
          </w:tcPr>
          <w:p>
            <w:pPr>
              <w:pStyle w:val="2"/>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磷酸盐（以P计）</w:t>
            </w:r>
          </w:p>
        </w:tc>
        <w:tc>
          <w:tcPr>
            <w:tcW w:w="1410" w:type="dxa"/>
            <w:noWrap/>
            <w:vAlign w:val="center"/>
          </w:tcPr>
          <w:p>
            <w:pPr>
              <w:pStyle w:val="2"/>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5(mg/L)</w:t>
            </w:r>
          </w:p>
        </w:tc>
        <w:tc>
          <w:tcPr>
            <w:tcW w:w="1215" w:type="dxa"/>
            <w:noWrap/>
            <w:vAlign w:val="center"/>
          </w:tcPr>
          <w:p>
            <w:pPr>
              <w:pStyle w:val="2"/>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0.5（mg/L）</w:t>
            </w:r>
          </w:p>
        </w:tc>
        <w:tc>
          <w:tcPr>
            <w:tcW w:w="4421" w:type="dxa"/>
            <w:noWrap/>
            <w:vAlign w:val="center"/>
          </w:tcPr>
          <w:p>
            <w:pPr>
              <w:pStyle w:val="2"/>
              <w:ind w:firstLine="56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88" w:type="dxa"/>
            <w:noWrap/>
            <w:vAlign w:val="center"/>
          </w:tcPr>
          <w:p>
            <w:pPr>
              <w:pStyle w:val="2"/>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氨氮（NH3-N）</w:t>
            </w:r>
          </w:p>
        </w:tc>
        <w:tc>
          <w:tcPr>
            <w:tcW w:w="1410" w:type="dxa"/>
            <w:noWrap/>
            <w:vAlign w:val="center"/>
          </w:tcPr>
          <w:p>
            <w:pPr>
              <w:pStyle w:val="2"/>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25(mg/L）</w:t>
            </w:r>
          </w:p>
        </w:tc>
        <w:tc>
          <w:tcPr>
            <w:tcW w:w="1215" w:type="dxa"/>
            <w:noWrap/>
            <w:vAlign w:val="center"/>
          </w:tcPr>
          <w:p>
            <w:pPr>
              <w:pStyle w:val="2"/>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5(mg/L）</w:t>
            </w:r>
          </w:p>
        </w:tc>
        <w:tc>
          <w:tcPr>
            <w:tcW w:w="4421" w:type="dxa"/>
            <w:noWrap/>
            <w:vAlign w:val="center"/>
          </w:tcPr>
          <w:p>
            <w:pPr>
              <w:pStyle w:val="2"/>
              <w:ind w:firstLine="56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88" w:type="dxa"/>
            <w:noWrap/>
            <w:vAlign w:val="center"/>
          </w:tcPr>
          <w:p>
            <w:pPr>
              <w:pStyle w:val="2"/>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化学需氧量（COD）</w:t>
            </w:r>
          </w:p>
        </w:tc>
        <w:tc>
          <w:tcPr>
            <w:tcW w:w="1410" w:type="dxa"/>
            <w:noWrap/>
            <w:vAlign w:val="center"/>
          </w:tcPr>
          <w:p>
            <w:pPr>
              <w:pStyle w:val="2"/>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300（mg/L）</w:t>
            </w:r>
          </w:p>
        </w:tc>
        <w:tc>
          <w:tcPr>
            <w:tcW w:w="1215" w:type="dxa"/>
            <w:noWrap/>
            <w:vAlign w:val="center"/>
          </w:tcPr>
          <w:p>
            <w:pPr>
              <w:pStyle w:val="2"/>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100（mg/L）</w:t>
            </w:r>
          </w:p>
        </w:tc>
        <w:tc>
          <w:tcPr>
            <w:tcW w:w="4421" w:type="dxa"/>
            <w:noWrap/>
            <w:vAlign w:val="center"/>
          </w:tcPr>
          <w:p>
            <w:pPr>
              <w:pStyle w:val="2"/>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≤300时按照收费1.1元，300＜COD≤400按照1.25元，400＜COD≤500按照1.4元，500＜COD≤600按照1.75，600＜COD≤700按照2.15，700＜COD≤800按照2.55，＞800时每档比上一档提高0.65。</w:t>
            </w:r>
          </w:p>
        </w:tc>
      </w:tr>
    </w:tbl>
    <w:p>
      <w:pPr>
        <w:jc w:val="center"/>
        <w:rPr>
          <w:rFonts w:hint="eastAsia"/>
          <w:b/>
          <w:bCs/>
          <w:color w:val="auto"/>
          <w:sz w:val="44"/>
          <w:szCs w:val="44"/>
          <w:lang w:val="en-US" w:eastAsia="zh-CN"/>
        </w:rPr>
      </w:pPr>
      <w:r>
        <w:rPr>
          <w:rFonts w:hint="eastAsia"/>
          <w:b/>
          <w:bCs/>
          <w:color w:val="auto"/>
          <w:sz w:val="44"/>
          <w:szCs w:val="44"/>
          <w:lang w:val="en-US" w:eastAsia="zh-CN"/>
        </w:rPr>
        <w:t xml:space="preserve">  </w:t>
      </w:r>
    </w:p>
    <w:p>
      <w:pPr>
        <w:jc w:val="center"/>
        <w:rPr>
          <w:rFonts w:hint="eastAsia"/>
          <w:b/>
          <w:bCs/>
          <w:color w:val="auto"/>
          <w:sz w:val="44"/>
          <w:szCs w:val="44"/>
          <w:lang w:val="en-US" w:eastAsia="zh-CN"/>
        </w:rPr>
      </w:pPr>
    </w:p>
    <w:p>
      <w:pPr>
        <w:jc w:val="center"/>
        <w:rPr>
          <w:rFonts w:hint="eastAsia"/>
          <w:b/>
          <w:bCs/>
          <w:color w:val="auto"/>
          <w:sz w:val="44"/>
          <w:szCs w:val="44"/>
          <w:lang w:val="en-US" w:eastAsia="zh-CN"/>
        </w:rPr>
      </w:pPr>
    </w:p>
    <w:p>
      <w:pPr>
        <w:jc w:val="center"/>
        <w:rPr>
          <w:rFonts w:hint="eastAsia"/>
          <w:b/>
          <w:bCs/>
          <w:color w:val="auto"/>
          <w:sz w:val="44"/>
          <w:szCs w:val="44"/>
          <w:lang w:val="en-US" w:eastAsia="zh-CN"/>
        </w:rPr>
      </w:pPr>
    </w:p>
    <w:p>
      <w:pPr>
        <w:jc w:val="center"/>
        <w:rPr>
          <w:rFonts w:hint="eastAsia"/>
          <w:b/>
          <w:bCs/>
          <w:color w:val="auto"/>
          <w:sz w:val="44"/>
          <w:szCs w:val="44"/>
          <w:lang w:val="en-US" w:eastAsia="zh-CN"/>
        </w:rPr>
      </w:pPr>
    </w:p>
    <w:p>
      <w:pPr>
        <w:jc w:val="center"/>
        <w:rPr>
          <w:rFonts w:hint="eastAsia"/>
          <w:b/>
          <w:bCs/>
          <w:color w:val="auto"/>
          <w:sz w:val="44"/>
          <w:szCs w:val="44"/>
          <w:lang w:val="en-US" w:eastAsia="zh-CN"/>
        </w:rPr>
      </w:pPr>
    </w:p>
    <w:p>
      <w:pPr>
        <w:jc w:val="center"/>
        <w:rPr>
          <w:rFonts w:hint="eastAsia"/>
          <w:b/>
          <w:bCs/>
          <w:color w:val="auto"/>
          <w:sz w:val="44"/>
          <w:szCs w:val="44"/>
          <w:lang w:val="en-US" w:eastAsia="zh-CN"/>
        </w:rPr>
      </w:pPr>
    </w:p>
    <w:p>
      <w:pPr>
        <w:jc w:val="center"/>
        <w:rPr>
          <w:rFonts w:hint="eastAsia"/>
          <w:b/>
          <w:bCs/>
          <w:color w:val="auto"/>
          <w:sz w:val="44"/>
          <w:szCs w:val="44"/>
          <w:lang w:val="en-US" w:eastAsia="zh-CN"/>
        </w:rPr>
      </w:pPr>
    </w:p>
    <w:p>
      <w:pPr>
        <w:jc w:val="center"/>
        <w:rPr>
          <w:rFonts w:hint="eastAsia"/>
          <w:b/>
          <w:bCs/>
          <w:color w:val="auto"/>
          <w:sz w:val="44"/>
          <w:szCs w:val="44"/>
          <w:lang w:val="en-US" w:eastAsia="zh-CN"/>
        </w:rPr>
      </w:pPr>
    </w:p>
    <w:p>
      <w:pPr>
        <w:jc w:val="center"/>
        <w:rPr>
          <w:rFonts w:hint="eastAsia"/>
          <w:b/>
          <w:bCs/>
          <w:color w:val="auto"/>
          <w:sz w:val="44"/>
          <w:szCs w:val="44"/>
          <w:lang w:val="en-US" w:eastAsia="zh-CN"/>
        </w:rPr>
      </w:pPr>
    </w:p>
    <w:p>
      <w:pPr>
        <w:jc w:val="center"/>
        <w:rPr>
          <w:rFonts w:hint="eastAsia"/>
          <w:b/>
          <w:bCs/>
          <w:color w:val="auto"/>
          <w:sz w:val="44"/>
          <w:szCs w:val="44"/>
          <w:lang w:val="en-US" w:eastAsia="zh-CN"/>
        </w:rPr>
      </w:pPr>
    </w:p>
    <w:p>
      <w:pPr>
        <w:jc w:val="center"/>
        <w:rPr>
          <w:rFonts w:hint="default"/>
          <w:b/>
          <w:bCs/>
          <w:color w:val="auto"/>
          <w:sz w:val="36"/>
          <w:szCs w:val="36"/>
          <w:lang w:val="en-US" w:eastAsia="zh-CN"/>
        </w:rPr>
      </w:pPr>
      <w:r>
        <w:rPr>
          <w:rFonts w:hint="eastAsia"/>
          <w:b/>
          <w:bCs/>
          <w:color w:val="auto"/>
          <w:sz w:val="36"/>
          <w:szCs w:val="36"/>
          <w:lang w:val="en-US" w:eastAsia="zh-CN"/>
        </w:rPr>
        <w:t>涉气主要污染因子治理费用计算方法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本方法以海峡股权交易中心全省2021年的排污权交易的加权平均价格为基准，乘以修正系数，修正系数按照《福建省生态环境行政处罚裁量规则和基准（试行）》中废气超标倍数确定。一般废气超标1倍以下取1、超标1倍以上3倍以下取2、超标3倍以上5倍以下取3、超标5倍以上10倍以下取4、超标10倍以上取5。2021年福建省排污权交易加权平均价如下：</w:t>
      </w:r>
    </w:p>
    <w:tbl>
      <w:tblPr>
        <w:tblStyle w:val="6"/>
        <w:tblW w:w="757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2824"/>
        <w:gridCol w:w="475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54" w:hRule="atLeast"/>
          <w:jc w:val="center"/>
        </w:trPr>
        <w:tc>
          <w:tcPr>
            <w:tcW w:w="282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pStyle w:val="2"/>
              <w:jc w:val="center"/>
              <w:rPr>
                <w:rFonts w:hint="eastAsia" w:ascii="仿宋" w:hAnsi="仿宋" w:eastAsia="仿宋" w:cs="仿宋"/>
                <w:b w:val="0"/>
                <w:bCs w:val="0"/>
                <w:color w:val="auto"/>
                <w:sz w:val="24"/>
                <w:szCs w:val="24"/>
                <w:lang w:val="en-US" w:eastAsia="zh-CN"/>
              </w:rPr>
            </w:pPr>
            <w:bookmarkStart w:id="0" w:name="_GoBack" w:colFirst="0" w:colLast="1"/>
            <w:r>
              <w:rPr>
                <w:rFonts w:hint="eastAsia" w:ascii="仿宋" w:hAnsi="仿宋" w:eastAsia="仿宋" w:cs="仿宋"/>
                <w:b w:val="0"/>
                <w:bCs w:val="0"/>
                <w:color w:val="auto"/>
                <w:sz w:val="24"/>
                <w:szCs w:val="24"/>
                <w:lang w:val="en-US" w:eastAsia="zh-CN"/>
              </w:rPr>
              <w:t>标的名称</w:t>
            </w:r>
          </w:p>
        </w:tc>
        <w:tc>
          <w:tcPr>
            <w:tcW w:w="475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pStyle w:val="2"/>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价格（元/年吨）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7" w:hRule="atLeast"/>
          <w:jc w:val="center"/>
        </w:trPr>
        <w:tc>
          <w:tcPr>
            <w:tcW w:w="282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pStyle w:val="2"/>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氮氧化物</w:t>
            </w:r>
          </w:p>
        </w:tc>
        <w:tc>
          <w:tcPr>
            <w:tcW w:w="475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pStyle w:val="2"/>
              <w:jc w:val="cente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11321.31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7" w:hRule="atLeast"/>
          <w:jc w:val="center"/>
        </w:trPr>
        <w:tc>
          <w:tcPr>
            <w:tcW w:w="282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pStyle w:val="2"/>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二氧化硫</w:t>
            </w:r>
          </w:p>
        </w:tc>
        <w:tc>
          <w:tcPr>
            <w:tcW w:w="475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pStyle w:val="2"/>
              <w:jc w:val="cente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7723.66</w:t>
            </w:r>
          </w:p>
        </w:tc>
      </w:tr>
      <w:bookmarkEnd w:id="0"/>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sectPr>
      <w:footerReference r:id="rId3" w:type="default"/>
      <w:pgSz w:w="11906" w:h="16838"/>
      <w:pgMar w:top="1780" w:right="1519" w:bottom="178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iZTVhNDkyMzZhMjM0YzE2YTQzYjk2NTRlNWY3ZDQifQ=="/>
  </w:docVars>
  <w:rsids>
    <w:rsidRoot w:val="00557AB9"/>
    <w:rsid w:val="00225133"/>
    <w:rsid w:val="00557AB9"/>
    <w:rsid w:val="005F62F8"/>
    <w:rsid w:val="00742956"/>
    <w:rsid w:val="0078785F"/>
    <w:rsid w:val="009806F9"/>
    <w:rsid w:val="00B92834"/>
    <w:rsid w:val="00DD51BF"/>
    <w:rsid w:val="00F27DEB"/>
    <w:rsid w:val="03745DC1"/>
    <w:rsid w:val="061F04D9"/>
    <w:rsid w:val="06A67EFC"/>
    <w:rsid w:val="073267E9"/>
    <w:rsid w:val="078678A3"/>
    <w:rsid w:val="08386A38"/>
    <w:rsid w:val="099A331B"/>
    <w:rsid w:val="0B6131F9"/>
    <w:rsid w:val="0D3B3455"/>
    <w:rsid w:val="0DCF4197"/>
    <w:rsid w:val="12865C3B"/>
    <w:rsid w:val="13985FDE"/>
    <w:rsid w:val="14B62439"/>
    <w:rsid w:val="17C018F1"/>
    <w:rsid w:val="194633D9"/>
    <w:rsid w:val="1A005050"/>
    <w:rsid w:val="1D237860"/>
    <w:rsid w:val="1D6469EB"/>
    <w:rsid w:val="2067715A"/>
    <w:rsid w:val="20BB6D44"/>
    <w:rsid w:val="23867849"/>
    <w:rsid w:val="24874109"/>
    <w:rsid w:val="25D02FFD"/>
    <w:rsid w:val="25E87C00"/>
    <w:rsid w:val="26977FBF"/>
    <w:rsid w:val="278F23BE"/>
    <w:rsid w:val="2C7B44EA"/>
    <w:rsid w:val="2CD27335"/>
    <w:rsid w:val="32033712"/>
    <w:rsid w:val="32584128"/>
    <w:rsid w:val="34655258"/>
    <w:rsid w:val="34B87A7E"/>
    <w:rsid w:val="3538296D"/>
    <w:rsid w:val="3ABA3B8B"/>
    <w:rsid w:val="3B15706C"/>
    <w:rsid w:val="3C080D01"/>
    <w:rsid w:val="43CC3188"/>
    <w:rsid w:val="462417D4"/>
    <w:rsid w:val="48FF0830"/>
    <w:rsid w:val="4B15132F"/>
    <w:rsid w:val="4F4426F6"/>
    <w:rsid w:val="4FE87012"/>
    <w:rsid w:val="54CF14B0"/>
    <w:rsid w:val="55A21B63"/>
    <w:rsid w:val="57DA055F"/>
    <w:rsid w:val="597A48F9"/>
    <w:rsid w:val="599D779C"/>
    <w:rsid w:val="5CE21359"/>
    <w:rsid w:val="5DA327CA"/>
    <w:rsid w:val="5E0D375F"/>
    <w:rsid w:val="62F448FD"/>
    <w:rsid w:val="665412EB"/>
    <w:rsid w:val="686850F7"/>
    <w:rsid w:val="6BB40298"/>
    <w:rsid w:val="702A7E41"/>
    <w:rsid w:val="70566405"/>
    <w:rsid w:val="708C17E3"/>
    <w:rsid w:val="75ED0A79"/>
    <w:rsid w:val="76992564"/>
    <w:rsid w:val="776F7D07"/>
    <w:rsid w:val="784E3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3"/>
    <w:qFormat/>
    <w:uiPriority w:val="0"/>
    <w:pPr>
      <w:spacing w:before="0" w:beforeAutospacing="0" w:after="0" w:afterAutospacing="0"/>
      <w:ind w:firstLine="0" w:firstLineChars="0"/>
      <w:jc w:val="left"/>
      <w:outlineLvl w:val="0"/>
    </w:pPr>
    <w:rPr>
      <w:rFonts w:hint="eastAsia" w:ascii="宋体" w:hAnsi="宋体" w:eastAsia="宋体" w:cs="宋体"/>
      <w:b/>
      <w:bCs/>
      <w:kern w:val="44"/>
      <w:sz w:val="30"/>
      <w:szCs w:val="48"/>
      <w:lang w:bidi="ar"/>
    </w:rPr>
  </w:style>
  <w:style w:type="paragraph" w:styleId="3">
    <w:name w:val="heading 2"/>
    <w:basedOn w:val="1"/>
    <w:next w:val="1"/>
    <w:semiHidden/>
    <w:unhideWhenUsed/>
    <w:qFormat/>
    <w:uiPriority w:val="0"/>
    <w:pPr>
      <w:keepNext/>
      <w:keepLines/>
      <w:spacing w:beforeLines="0" w:beforeAutospacing="0" w:afterLines="0" w:afterAutospacing="0" w:line="240" w:lineRule="auto"/>
      <w:ind w:firstLine="0" w:firstLineChars="0"/>
      <w:outlineLvl w:val="1"/>
    </w:pPr>
    <w:rPr>
      <w:rFonts w:ascii="Arial" w:hAnsi="Arial" w:eastAsia="宋体"/>
      <w:b/>
      <w:sz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3476</Words>
  <Characters>3645</Characters>
  <Lines>19</Lines>
  <Paragraphs>5</Paragraphs>
  <TotalTime>1085</TotalTime>
  <ScaleCrop>false</ScaleCrop>
  <LinksUpToDate>false</LinksUpToDate>
  <CharactersWithSpaces>3665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2022-06-21T00:27:00Z</dcterms:created>
  <dc:creator>Administrator</dc:creator>
  <cp:lastModifiedBy>小角落</cp:lastModifiedBy>
  <cp:lastPrinted>2022-10-18T03:14:00Z</cp:lastPrinted>
  <dcterms:modified xsi:type="dcterms:W3CDTF">2022-10-25T07:16:18Z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CC4232754DBD4DD798C3C85ADAC02B41</vt:lpwstr>
  </property>
</Properties>
</file>